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D9C4B" w14:textId="17F7B599" w:rsidR="00B2334A" w:rsidRDefault="00823EE8" w:rsidP="00823EE8">
      <w:pPr>
        <w:tabs>
          <w:tab w:val="left" w:pos="142"/>
        </w:tabs>
        <w:jc w:val="center"/>
        <w:rPr>
          <w:b/>
          <w:bCs/>
          <w:sz w:val="24"/>
        </w:rPr>
      </w:pPr>
      <w:r w:rsidRPr="00B24326">
        <w:rPr>
          <w:rFonts w:hint="eastAsia"/>
          <w:b/>
          <w:bCs/>
          <w:sz w:val="24"/>
        </w:rPr>
        <w:t>「大学における多様性を推進するための教員採用マニュアル」</w:t>
      </w:r>
      <w:r w:rsidR="00C74EF1">
        <w:rPr>
          <w:rFonts w:hint="eastAsia"/>
          <w:b/>
          <w:bCs/>
          <w:sz w:val="24"/>
        </w:rPr>
        <w:t>に基づく</w:t>
      </w:r>
      <w:r w:rsidRPr="00B24326">
        <w:rPr>
          <w:rFonts w:hint="eastAsia"/>
          <w:b/>
          <w:bCs/>
          <w:sz w:val="24"/>
        </w:rPr>
        <w:t>チェックリスト</w:t>
      </w:r>
    </w:p>
    <w:tbl>
      <w:tblPr>
        <w:tblStyle w:val="ae"/>
        <w:tblW w:w="10201" w:type="dxa"/>
        <w:tblLook w:val="04A0" w:firstRow="1" w:lastRow="0" w:firstColumn="1" w:lastColumn="0" w:noHBand="0" w:noVBand="1"/>
      </w:tblPr>
      <w:tblGrid>
        <w:gridCol w:w="625"/>
        <w:gridCol w:w="8745"/>
        <w:gridCol w:w="831"/>
      </w:tblGrid>
      <w:tr w:rsidR="00823EE8" w14:paraId="217F92C4" w14:textId="77777777" w:rsidTr="00C21DC2">
        <w:tc>
          <w:tcPr>
            <w:tcW w:w="625" w:type="dxa"/>
            <w:shd w:val="clear" w:color="auto" w:fill="D9D9D9" w:themeFill="background1" w:themeFillShade="D9"/>
          </w:tcPr>
          <w:p w14:paraId="13B6FD72" w14:textId="2EEA7556" w:rsidR="00823EE8" w:rsidRPr="00C377A6" w:rsidRDefault="00823EE8" w:rsidP="00823EE8">
            <w:pPr>
              <w:jc w:val="center"/>
              <w:rPr>
                <w:b/>
                <w:bCs/>
              </w:rPr>
            </w:pPr>
            <w:r w:rsidRPr="00C377A6">
              <w:rPr>
                <w:rFonts w:hint="eastAsia"/>
                <w:b/>
                <w:bCs/>
              </w:rPr>
              <w:t>No.</w:t>
            </w:r>
          </w:p>
        </w:tc>
        <w:tc>
          <w:tcPr>
            <w:tcW w:w="8745" w:type="dxa"/>
            <w:shd w:val="clear" w:color="auto" w:fill="D9D9D9" w:themeFill="background1" w:themeFillShade="D9"/>
          </w:tcPr>
          <w:p w14:paraId="6E25B782" w14:textId="45C4A075" w:rsidR="00823EE8" w:rsidRPr="00C377A6" w:rsidRDefault="00823EE8">
            <w:pPr>
              <w:rPr>
                <w:b/>
                <w:bCs/>
              </w:rPr>
            </w:pPr>
            <w:r w:rsidRPr="00C377A6">
              <w:rPr>
                <w:rFonts w:hint="eastAsia"/>
                <w:b/>
                <w:bCs/>
              </w:rPr>
              <w:t>項目</w:t>
            </w:r>
          </w:p>
        </w:tc>
        <w:tc>
          <w:tcPr>
            <w:tcW w:w="831" w:type="dxa"/>
            <w:tcBorders>
              <w:bottom w:val="single" w:sz="4" w:space="0" w:color="auto"/>
            </w:tcBorders>
            <w:shd w:val="clear" w:color="auto" w:fill="D9D9D9" w:themeFill="background1" w:themeFillShade="D9"/>
          </w:tcPr>
          <w:p w14:paraId="37FDDFCD" w14:textId="63D38BF4" w:rsidR="00823EE8" w:rsidRPr="00C377A6" w:rsidRDefault="00823EE8">
            <w:pPr>
              <w:rPr>
                <w:b/>
                <w:bCs/>
              </w:rPr>
            </w:pPr>
            <w:r w:rsidRPr="00C377A6">
              <w:rPr>
                <w:rFonts w:hint="eastAsia"/>
                <w:b/>
                <w:bCs/>
              </w:rPr>
              <w:t>✓欄</w:t>
            </w:r>
          </w:p>
        </w:tc>
      </w:tr>
      <w:tr w:rsidR="00BB7650" w14:paraId="706208FA" w14:textId="77777777" w:rsidTr="00497F7E">
        <w:trPr>
          <w:trHeight w:val="297"/>
        </w:trPr>
        <w:tc>
          <w:tcPr>
            <w:tcW w:w="10201" w:type="dxa"/>
            <w:gridSpan w:val="3"/>
            <w:shd w:val="clear" w:color="auto" w:fill="auto"/>
          </w:tcPr>
          <w:p w14:paraId="4501C7FD" w14:textId="69452BCB" w:rsidR="00BB7650" w:rsidRDefault="00BB7650" w:rsidP="005D7F12">
            <w:pPr>
              <w:jc w:val="left"/>
            </w:pPr>
            <w:r w:rsidRPr="005D7F12">
              <w:rPr>
                <w:rFonts w:hint="eastAsia"/>
                <w:b/>
                <w:bCs/>
                <w:szCs w:val="21"/>
              </w:rPr>
              <w:t>１．教員選考委員会で準備すべきこと</w:t>
            </w:r>
          </w:p>
        </w:tc>
      </w:tr>
      <w:tr w:rsidR="00823EE8" w14:paraId="3F33CA77" w14:textId="77777777" w:rsidTr="00C21DC2">
        <w:tc>
          <w:tcPr>
            <w:tcW w:w="625" w:type="dxa"/>
          </w:tcPr>
          <w:p w14:paraId="362E3422" w14:textId="7CDC5A61" w:rsidR="00823EE8" w:rsidRDefault="005D7F12" w:rsidP="005D7F12">
            <w:pPr>
              <w:jc w:val="right"/>
            </w:pPr>
            <w:r>
              <w:rPr>
                <w:rFonts w:hint="eastAsia"/>
              </w:rPr>
              <w:t>(</w:t>
            </w:r>
            <w:r w:rsidR="00823EE8">
              <w:rPr>
                <w:rFonts w:hint="eastAsia"/>
              </w:rPr>
              <w:t>1</w:t>
            </w:r>
            <w:r>
              <w:rPr>
                <w:rFonts w:hint="eastAsia"/>
              </w:rPr>
              <w:t>)</w:t>
            </w:r>
          </w:p>
        </w:tc>
        <w:tc>
          <w:tcPr>
            <w:tcW w:w="8745" w:type="dxa"/>
          </w:tcPr>
          <w:p w14:paraId="51437FD2" w14:textId="77777777" w:rsidR="00823EE8" w:rsidRDefault="00823EE8">
            <w:r>
              <w:rPr>
                <w:rFonts w:hint="eastAsia"/>
              </w:rPr>
              <w:t>選考委員全員に、本マニュアルを読むことを義務付けた。</w:t>
            </w:r>
          </w:p>
          <w:p w14:paraId="1D326C08" w14:textId="1A43F730" w:rsidR="00D941F4" w:rsidRDefault="00D941F4">
            <w:r>
              <w:rPr>
                <w:rFonts w:hint="eastAsia"/>
              </w:rPr>
              <w:t>マニュアルは以下URLから取得可</w:t>
            </w:r>
          </w:p>
          <w:p w14:paraId="2592C868" w14:textId="5CCB8505" w:rsidR="00C74EF1" w:rsidRPr="00D941F4" w:rsidRDefault="00D941F4">
            <w:hyperlink r:id="rId8" w:history="1">
              <w:r w:rsidRPr="00780422">
                <w:rPr>
                  <w:rStyle w:val="af"/>
                </w:rPr>
                <w:t>https://www.kyodo-sankaku.provost.nagoya-u.ac.jp/about/manual/</w:t>
              </w:r>
            </w:hyperlink>
          </w:p>
        </w:tc>
        <w:tc>
          <w:tcPr>
            <w:tcW w:w="831" w:type="dxa"/>
          </w:tcPr>
          <w:p w14:paraId="0B1EFF46" w14:textId="67A04552" w:rsidR="00823EE8" w:rsidRDefault="00823EE8" w:rsidP="00E051FD">
            <w:pPr>
              <w:jc w:val="center"/>
            </w:pPr>
            <w:r>
              <w:rPr>
                <w:rFonts w:hint="eastAsia"/>
              </w:rPr>
              <w:t>□</w:t>
            </w:r>
          </w:p>
        </w:tc>
      </w:tr>
      <w:tr w:rsidR="00823EE8" w14:paraId="01BCA69D" w14:textId="77777777" w:rsidTr="00C21DC2">
        <w:tc>
          <w:tcPr>
            <w:tcW w:w="625" w:type="dxa"/>
          </w:tcPr>
          <w:p w14:paraId="40EB0D40" w14:textId="64657859" w:rsidR="00823EE8" w:rsidRDefault="005D7F12" w:rsidP="005D7F12">
            <w:pPr>
              <w:jc w:val="right"/>
            </w:pPr>
            <w:r>
              <w:rPr>
                <w:rFonts w:hint="eastAsia"/>
              </w:rPr>
              <w:t>(</w:t>
            </w:r>
            <w:r w:rsidR="00823EE8">
              <w:rPr>
                <w:rFonts w:hint="eastAsia"/>
              </w:rPr>
              <w:t>2</w:t>
            </w:r>
            <w:r>
              <w:rPr>
                <w:rFonts w:hint="eastAsia"/>
              </w:rPr>
              <w:t>)</w:t>
            </w:r>
          </w:p>
        </w:tc>
        <w:tc>
          <w:tcPr>
            <w:tcW w:w="8745" w:type="dxa"/>
          </w:tcPr>
          <w:p w14:paraId="20E9D9B5" w14:textId="77777777" w:rsidR="00823EE8" w:rsidRDefault="00823EE8">
            <w:r w:rsidRPr="00823EE8">
              <w:t>選考委員全員に、「無意識のバイアス」研修受講を義務付けた。</w:t>
            </w:r>
          </w:p>
          <w:p w14:paraId="172005D4" w14:textId="4ACBC1BD" w:rsidR="004A509A" w:rsidRDefault="004A509A">
            <w:r>
              <w:rPr>
                <w:rFonts w:hint="eastAsia"/>
              </w:rPr>
              <w:t>学内者：</w:t>
            </w:r>
            <w:hyperlink r:id="rId9" w:history="1">
              <w:r w:rsidRPr="008B1F38">
                <w:rPr>
                  <w:rStyle w:val="af"/>
                </w:rPr>
                <w:t>https://tact.ac.thers.ac.jp/portal</w:t>
              </w:r>
            </w:hyperlink>
          </w:p>
          <w:p w14:paraId="1726623B" w14:textId="77777777" w:rsidR="004A509A" w:rsidRDefault="004A509A">
            <w:r>
              <w:rPr>
                <w:rFonts w:hint="eastAsia"/>
              </w:rPr>
              <w:t>学外者：</w:t>
            </w:r>
          </w:p>
          <w:p w14:paraId="146817CF" w14:textId="421880FB" w:rsidR="004A509A" w:rsidRPr="004A509A" w:rsidRDefault="004A509A">
            <w:hyperlink r:id="rId10" w:history="1">
              <w:r w:rsidRPr="00780422">
                <w:rPr>
                  <w:rStyle w:val="af"/>
                </w:rPr>
                <w:t>https://www.kyodo-sankaku.provost.nagoya-u.ac.jp/research_analysis/outcomes.html</w:t>
              </w:r>
            </w:hyperlink>
          </w:p>
        </w:tc>
        <w:tc>
          <w:tcPr>
            <w:tcW w:w="831" w:type="dxa"/>
          </w:tcPr>
          <w:p w14:paraId="78662594" w14:textId="5C4C969A" w:rsidR="00823EE8" w:rsidRDefault="00823EE8" w:rsidP="00E051FD">
            <w:pPr>
              <w:jc w:val="center"/>
            </w:pPr>
            <w:r>
              <w:rPr>
                <w:rFonts w:hint="eastAsia"/>
              </w:rPr>
              <w:t>□</w:t>
            </w:r>
          </w:p>
        </w:tc>
      </w:tr>
      <w:tr w:rsidR="00823EE8" w14:paraId="351C774E" w14:textId="77777777" w:rsidTr="00C21DC2">
        <w:tc>
          <w:tcPr>
            <w:tcW w:w="625" w:type="dxa"/>
          </w:tcPr>
          <w:p w14:paraId="3D5094A6" w14:textId="21947120" w:rsidR="00823EE8" w:rsidRDefault="005D7F12" w:rsidP="005D7F12">
            <w:pPr>
              <w:jc w:val="right"/>
            </w:pPr>
            <w:r>
              <w:rPr>
                <w:rFonts w:hint="eastAsia"/>
              </w:rPr>
              <w:t>(</w:t>
            </w:r>
            <w:r w:rsidR="00823EE8">
              <w:rPr>
                <w:rFonts w:hint="eastAsia"/>
              </w:rPr>
              <w:t>3</w:t>
            </w:r>
            <w:r>
              <w:rPr>
                <w:rFonts w:hint="eastAsia"/>
              </w:rPr>
              <w:t>)</w:t>
            </w:r>
          </w:p>
        </w:tc>
        <w:tc>
          <w:tcPr>
            <w:tcW w:w="8745" w:type="dxa"/>
          </w:tcPr>
          <w:p w14:paraId="57638650" w14:textId="31FA8E16" w:rsidR="00823EE8" w:rsidRDefault="00823EE8">
            <w:r w:rsidRPr="00823EE8">
              <w:t>選考委員会の運用にあたり、委員会内の力関係によって一部の委員が発言を控えたりすることがないよう、事前に委員全員の参加を促す基本ルールを</w:t>
            </w:r>
            <w:r w:rsidR="00FF094C">
              <w:rPr>
                <w:rFonts w:hint="eastAsia"/>
              </w:rPr>
              <w:t>確認</w:t>
            </w:r>
            <w:r w:rsidRPr="00823EE8">
              <w:t>した。</w:t>
            </w:r>
          </w:p>
        </w:tc>
        <w:tc>
          <w:tcPr>
            <w:tcW w:w="831" w:type="dxa"/>
          </w:tcPr>
          <w:p w14:paraId="20248C06" w14:textId="2BE2FE36" w:rsidR="00823EE8" w:rsidRDefault="00823EE8" w:rsidP="00E051FD">
            <w:pPr>
              <w:jc w:val="center"/>
            </w:pPr>
            <w:r>
              <w:rPr>
                <w:rFonts w:hint="eastAsia"/>
              </w:rPr>
              <w:t>□</w:t>
            </w:r>
          </w:p>
        </w:tc>
      </w:tr>
      <w:tr w:rsidR="00823EE8" w14:paraId="4AB976F9" w14:textId="77777777" w:rsidTr="00C21DC2">
        <w:tc>
          <w:tcPr>
            <w:tcW w:w="625" w:type="dxa"/>
          </w:tcPr>
          <w:p w14:paraId="2019BCDC" w14:textId="4F75D9A4" w:rsidR="00823EE8" w:rsidRDefault="005D7F12" w:rsidP="005D7F12">
            <w:pPr>
              <w:jc w:val="right"/>
            </w:pPr>
            <w:r>
              <w:rPr>
                <w:rFonts w:hint="eastAsia"/>
              </w:rPr>
              <w:t>(</w:t>
            </w:r>
            <w:r w:rsidR="00823EE8">
              <w:rPr>
                <w:rFonts w:hint="eastAsia"/>
              </w:rPr>
              <w:t>4</w:t>
            </w:r>
            <w:r>
              <w:rPr>
                <w:rFonts w:hint="eastAsia"/>
              </w:rPr>
              <w:t>)</w:t>
            </w:r>
          </w:p>
        </w:tc>
        <w:tc>
          <w:tcPr>
            <w:tcW w:w="8745" w:type="dxa"/>
          </w:tcPr>
          <w:p w14:paraId="5B3854FF" w14:textId="470D9CE4" w:rsidR="00823EE8" w:rsidRDefault="00823EE8" w:rsidP="00823EE8">
            <w:r>
              <w:t>採用人事を行う</w:t>
            </w:r>
            <w:r w:rsidRPr="00DC25BA">
              <w:rPr>
                <w:u w:val="single"/>
              </w:rPr>
              <w:t>当該部局</w:t>
            </w:r>
            <w:r>
              <w:t>の</w:t>
            </w:r>
            <w:r w:rsidR="005A0782">
              <w:rPr>
                <w:rFonts w:hint="eastAsia"/>
              </w:rPr>
              <w:t>多様性（</w:t>
            </w:r>
            <w:r w:rsidR="00D73FD9">
              <w:rPr>
                <w:rFonts w:hint="eastAsia"/>
              </w:rPr>
              <w:t>性別、国籍、</w:t>
            </w:r>
            <w:r w:rsidR="00FF094C">
              <w:rPr>
                <w:rFonts w:hint="eastAsia"/>
              </w:rPr>
              <w:t>年齢構成など</w:t>
            </w:r>
            <w:r w:rsidR="005A0782">
              <w:rPr>
                <w:rFonts w:hint="eastAsia"/>
              </w:rPr>
              <w:t>）</w:t>
            </w:r>
            <w:r>
              <w:t>に関する現状のデータを事前に入手し、選考委員全員でデータに基づく共通の現状認識を持つようにした。</w:t>
            </w:r>
          </w:p>
          <w:p w14:paraId="166F0F61" w14:textId="401A0C2D" w:rsidR="00823EE8" w:rsidRDefault="00823EE8" w:rsidP="00823EE8">
            <w:r>
              <w:rPr>
                <w:rFonts w:hint="eastAsia"/>
              </w:rPr>
              <w:t>※部局毎の女性教員比率は、『名古屋大学における男女共同参画報告書』（</w:t>
            </w:r>
            <w:hyperlink r:id="rId11" w:history="1">
              <w:r w:rsidRPr="00823EE8">
                <w:rPr>
                  <w:rStyle w:val="af"/>
                </w:rPr>
                <w:t>https://www.kyodo-sankaku.provost.nagoya-u.ac.jp/report/report.html</w:t>
              </w:r>
            </w:hyperlink>
            <w:r>
              <w:t>）を参照のこと。</w:t>
            </w:r>
          </w:p>
        </w:tc>
        <w:tc>
          <w:tcPr>
            <w:tcW w:w="831" w:type="dxa"/>
          </w:tcPr>
          <w:p w14:paraId="3DADAC58" w14:textId="070F1EF4" w:rsidR="00823EE8" w:rsidRDefault="00823EE8" w:rsidP="00E051FD">
            <w:pPr>
              <w:jc w:val="center"/>
            </w:pPr>
            <w:r>
              <w:rPr>
                <w:rFonts w:hint="eastAsia"/>
              </w:rPr>
              <w:t>□</w:t>
            </w:r>
          </w:p>
        </w:tc>
      </w:tr>
      <w:tr w:rsidR="00823EE8" w14:paraId="2F9A42A2" w14:textId="77777777" w:rsidTr="00C21DC2">
        <w:tc>
          <w:tcPr>
            <w:tcW w:w="625" w:type="dxa"/>
          </w:tcPr>
          <w:p w14:paraId="4816017A" w14:textId="50A0000D" w:rsidR="00823EE8" w:rsidRDefault="005D7F12" w:rsidP="005D7F12">
            <w:pPr>
              <w:jc w:val="right"/>
            </w:pPr>
            <w:r>
              <w:rPr>
                <w:rFonts w:hint="eastAsia"/>
              </w:rPr>
              <w:t>(</w:t>
            </w:r>
            <w:r w:rsidR="00823EE8">
              <w:rPr>
                <w:rFonts w:hint="eastAsia"/>
              </w:rPr>
              <w:t>5</w:t>
            </w:r>
            <w:r>
              <w:rPr>
                <w:rFonts w:hint="eastAsia"/>
              </w:rPr>
              <w:t>)</w:t>
            </w:r>
          </w:p>
        </w:tc>
        <w:tc>
          <w:tcPr>
            <w:tcW w:w="8745" w:type="dxa"/>
          </w:tcPr>
          <w:p w14:paraId="4CAEACC5" w14:textId="5E444370" w:rsidR="00823EE8" w:rsidRDefault="00823EE8" w:rsidP="00823EE8">
            <w:r>
              <w:t>募集をかける</w:t>
            </w:r>
            <w:r w:rsidRPr="00DC25BA">
              <w:rPr>
                <w:u w:val="single"/>
              </w:rPr>
              <w:t>専門分野</w:t>
            </w:r>
            <w:r>
              <w:t>において、女性の数が国内にどれほどいて、その比率はどのくらいなのかを、学会等のデータから可能な限り事前に確認を行った。</w:t>
            </w:r>
          </w:p>
          <w:p w14:paraId="0F43890E" w14:textId="102E32C5" w:rsidR="00823EE8" w:rsidRDefault="00823EE8" w:rsidP="00823EE8">
            <w:r>
              <w:rPr>
                <w:rFonts w:hint="eastAsia"/>
              </w:rPr>
              <w:t>※女性教員比率</w:t>
            </w:r>
            <w:r w:rsidR="005A0782">
              <w:rPr>
                <w:rFonts w:hint="eastAsia"/>
              </w:rPr>
              <w:t>について</w:t>
            </w:r>
            <w:r>
              <w:rPr>
                <w:rFonts w:hint="eastAsia"/>
              </w:rPr>
              <w:t>、</w:t>
            </w:r>
            <w:r w:rsidR="00FF094C">
              <w:rPr>
                <w:rFonts w:hint="eastAsia"/>
              </w:rPr>
              <w:t>自然科学系学会は</w:t>
            </w:r>
            <w:r>
              <w:rPr>
                <w:rFonts w:hint="eastAsia"/>
              </w:rPr>
              <w:t>「男女共同参画学協会連絡会</w:t>
            </w:r>
            <w:r>
              <w:t>女性比率調査」（</w:t>
            </w:r>
            <w:hyperlink r:id="rId12" w:anchor="chapter-3" w:history="1">
              <w:r w:rsidR="00D941F4" w:rsidRPr="00D941F4">
                <w:rPr>
                  <w:rStyle w:val="af"/>
                </w:rPr>
                <w:t>https://djrenrakukai.org/enquete.html#chapter-3</w:t>
              </w:r>
            </w:hyperlink>
            <w:r>
              <w:t>）人文社会科学系学会は、該当する学会に直接尋ねる</w:t>
            </w:r>
            <w:r w:rsidR="00FF094C">
              <w:rPr>
                <w:rFonts w:hint="eastAsia"/>
              </w:rPr>
              <w:t>等する</w:t>
            </w:r>
            <w:r>
              <w:t>こと。</w:t>
            </w:r>
          </w:p>
        </w:tc>
        <w:tc>
          <w:tcPr>
            <w:tcW w:w="831" w:type="dxa"/>
          </w:tcPr>
          <w:p w14:paraId="2CED887F" w14:textId="40AE84A0" w:rsidR="00823EE8" w:rsidRDefault="00823EE8" w:rsidP="00E051FD">
            <w:pPr>
              <w:jc w:val="center"/>
            </w:pPr>
            <w:r>
              <w:rPr>
                <w:rFonts w:hint="eastAsia"/>
              </w:rPr>
              <w:t>□</w:t>
            </w:r>
          </w:p>
        </w:tc>
      </w:tr>
      <w:tr w:rsidR="00823EE8" w14:paraId="33BBD7CA" w14:textId="77777777" w:rsidTr="00C21DC2">
        <w:tc>
          <w:tcPr>
            <w:tcW w:w="625" w:type="dxa"/>
          </w:tcPr>
          <w:p w14:paraId="4BFB1A2A" w14:textId="12951D84" w:rsidR="00823EE8" w:rsidRDefault="005D7F12" w:rsidP="005D7F12">
            <w:pPr>
              <w:jc w:val="right"/>
            </w:pPr>
            <w:r>
              <w:rPr>
                <w:rFonts w:hint="eastAsia"/>
              </w:rPr>
              <w:t>(</w:t>
            </w:r>
            <w:r w:rsidR="00823EE8">
              <w:rPr>
                <w:rFonts w:hint="eastAsia"/>
              </w:rPr>
              <w:t>6</w:t>
            </w:r>
            <w:r>
              <w:rPr>
                <w:rFonts w:hint="eastAsia"/>
              </w:rPr>
              <w:t>)</w:t>
            </w:r>
          </w:p>
        </w:tc>
        <w:tc>
          <w:tcPr>
            <w:tcW w:w="8745" w:type="dxa"/>
          </w:tcPr>
          <w:p w14:paraId="7B27AAE0" w14:textId="678A722D" w:rsidR="00823EE8" w:rsidRDefault="00823EE8">
            <w:r w:rsidRPr="00823EE8">
              <w:t>募集を行う当該部局や専門分野における</w:t>
            </w:r>
            <w:r w:rsidR="00C31FB0">
              <w:rPr>
                <w:rFonts w:hint="eastAsia"/>
              </w:rPr>
              <w:t>女性に関する</w:t>
            </w:r>
            <w:r w:rsidRPr="00823EE8">
              <w:t>データから、応募者に占める女性の比率について選考委員会で話し合い、</w:t>
            </w:r>
            <w:r w:rsidR="00FF094C">
              <w:rPr>
                <w:rFonts w:hint="eastAsia"/>
              </w:rPr>
              <w:t>応募者の</w:t>
            </w:r>
            <w:r w:rsidRPr="00823EE8">
              <w:t>目標値を設定した。</w:t>
            </w:r>
          </w:p>
        </w:tc>
        <w:tc>
          <w:tcPr>
            <w:tcW w:w="831" w:type="dxa"/>
          </w:tcPr>
          <w:p w14:paraId="3BD3499D" w14:textId="2DB39C49" w:rsidR="00823EE8" w:rsidRDefault="00E051FD" w:rsidP="00E051FD">
            <w:pPr>
              <w:jc w:val="center"/>
            </w:pPr>
            <w:r>
              <w:rPr>
                <w:rFonts w:hint="eastAsia"/>
              </w:rPr>
              <w:t>□</w:t>
            </w:r>
          </w:p>
        </w:tc>
      </w:tr>
      <w:tr w:rsidR="00823EE8" w14:paraId="4419F134" w14:textId="77777777" w:rsidTr="00C21DC2">
        <w:tc>
          <w:tcPr>
            <w:tcW w:w="625" w:type="dxa"/>
          </w:tcPr>
          <w:p w14:paraId="48522C5C" w14:textId="1CA81398" w:rsidR="00823EE8" w:rsidRDefault="005D7F12" w:rsidP="005D7F12">
            <w:pPr>
              <w:jc w:val="right"/>
            </w:pPr>
            <w:r>
              <w:rPr>
                <w:rFonts w:hint="eastAsia"/>
              </w:rPr>
              <w:t>(</w:t>
            </w:r>
            <w:r w:rsidR="00823EE8">
              <w:rPr>
                <w:rFonts w:hint="eastAsia"/>
              </w:rPr>
              <w:t>7</w:t>
            </w:r>
            <w:r>
              <w:rPr>
                <w:rFonts w:hint="eastAsia"/>
              </w:rPr>
              <w:t>)</w:t>
            </w:r>
          </w:p>
        </w:tc>
        <w:tc>
          <w:tcPr>
            <w:tcW w:w="8745" w:type="dxa"/>
          </w:tcPr>
          <w:p w14:paraId="1A0D8683" w14:textId="77777777" w:rsidR="00823EE8" w:rsidRDefault="00823EE8">
            <w:r w:rsidRPr="00823EE8">
              <w:t>募集要項に、多様性の推進やワークライフバランスを積極的に推進していることを明記し、関連するリンクを付記した。</w:t>
            </w:r>
          </w:p>
          <w:p w14:paraId="25298C4E" w14:textId="28F8A218" w:rsidR="004A509A" w:rsidRDefault="004A509A">
            <w:r>
              <w:rPr>
                <w:rFonts w:hint="eastAsia"/>
              </w:rPr>
              <w:t>（例文）</w:t>
            </w:r>
          </w:p>
          <w:p w14:paraId="54C53031" w14:textId="71AF544C" w:rsidR="004A509A" w:rsidRDefault="004A509A" w:rsidP="004A509A">
            <w:r>
              <w:rPr>
                <w:rFonts w:hint="eastAsia"/>
              </w:rPr>
              <w:t>本学では、</w:t>
            </w:r>
            <w:r w:rsidRPr="004A509A">
              <w:rPr>
                <w:rFonts w:hint="eastAsia"/>
              </w:rPr>
              <w:t>多様性の推進やワークライフバランス</w:t>
            </w:r>
            <w:r>
              <w:rPr>
                <w:rFonts w:hint="eastAsia"/>
              </w:rPr>
              <w:t>の促進に、積極的に取り組んでいます。詳細については以下の</w:t>
            </w:r>
            <w:r>
              <w:t>URL をご覧ください。</w:t>
            </w:r>
          </w:p>
          <w:p w14:paraId="470705C0" w14:textId="4B75068F" w:rsidR="004A509A" w:rsidRDefault="00C95F36" w:rsidP="004A509A">
            <w:r>
              <w:rPr>
                <w:rFonts w:hint="eastAsia"/>
              </w:rPr>
              <w:t>ｼﾞｪﾝﾀﾞｰﾀﾞｲﾊﾞｰｼﾃｨｾﾝﾀｰ</w:t>
            </w:r>
            <w:r w:rsidR="00487DA7">
              <w:rPr>
                <w:rFonts w:hint="eastAsia"/>
              </w:rPr>
              <w:t>Web</w:t>
            </w:r>
            <w:r>
              <w:rPr>
                <w:rFonts w:hint="eastAsia"/>
              </w:rPr>
              <w:t>ｻｲﾄ</w:t>
            </w:r>
            <w:r w:rsidR="00487DA7">
              <w:rPr>
                <w:rFonts w:hint="eastAsia"/>
              </w:rPr>
              <w:t>：</w:t>
            </w:r>
            <w:hyperlink r:id="rId13" w:history="1">
              <w:r w:rsidR="00BB297B" w:rsidRPr="00F97481">
                <w:rPr>
                  <w:rStyle w:val="af"/>
                </w:rPr>
                <w:t>https://www.kyodo-sankaku.provost.nagoya-u.ac.jp/</w:t>
              </w:r>
            </w:hyperlink>
          </w:p>
          <w:p w14:paraId="137CA64F" w14:textId="6EB3CB1C" w:rsidR="00C95F36" w:rsidRPr="00487DA7" w:rsidRDefault="00C95F36" w:rsidP="004A509A">
            <w:r w:rsidRPr="002824BE">
              <w:rPr>
                <w:rFonts w:hint="eastAsia"/>
              </w:rPr>
              <w:t>ﾀﾞｲﾊﾞｰｼﾃｨ､ｴｸｲﾃｨ､ｲﾝｸﾙｰｼﾞｮﾝ</w:t>
            </w:r>
            <w:r w:rsidRPr="002824BE">
              <w:t>&amp;ﾋﾞﾛﾝｷﾞﾝｸﾞ(Diversity, Equity, Inclusion &amp; Belonging: DEIB) 推進宣言</w:t>
            </w:r>
            <w:r w:rsidRPr="002824BE">
              <w:rPr>
                <w:rFonts w:hint="eastAsia"/>
              </w:rPr>
              <w:t>：</w:t>
            </w:r>
            <w:hyperlink r:id="rId14" w:history="1">
              <w:r w:rsidRPr="00780422">
                <w:rPr>
                  <w:rStyle w:val="af"/>
                </w:rPr>
                <w:t>https://www.thers.ac.jp/about/declaration/deib/index.html</w:t>
              </w:r>
            </w:hyperlink>
          </w:p>
        </w:tc>
        <w:tc>
          <w:tcPr>
            <w:tcW w:w="831" w:type="dxa"/>
            <w:tcBorders>
              <w:bottom w:val="single" w:sz="4" w:space="0" w:color="auto"/>
            </w:tcBorders>
          </w:tcPr>
          <w:p w14:paraId="3004D2DB" w14:textId="5D3276B6" w:rsidR="00823EE8" w:rsidRDefault="00E051FD" w:rsidP="00E051FD">
            <w:pPr>
              <w:jc w:val="center"/>
            </w:pPr>
            <w:r>
              <w:rPr>
                <w:rFonts w:hint="eastAsia"/>
              </w:rPr>
              <w:t>□</w:t>
            </w:r>
          </w:p>
        </w:tc>
      </w:tr>
      <w:tr w:rsidR="00BB7650" w14:paraId="120CE149" w14:textId="77777777" w:rsidTr="00E51572">
        <w:tc>
          <w:tcPr>
            <w:tcW w:w="10201" w:type="dxa"/>
            <w:gridSpan w:val="3"/>
            <w:shd w:val="clear" w:color="auto" w:fill="auto"/>
          </w:tcPr>
          <w:p w14:paraId="2B77127C" w14:textId="722A9C03" w:rsidR="00BB7650" w:rsidRPr="005D7F12" w:rsidRDefault="00BB7650" w:rsidP="00AE3BBE">
            <w:pPr>
              <w:rPr>
                <w:szCs w:val="21"/>
              </w:rPr>
            </w:pPr>
            <w:r w:rsidRPr="005D7F12">
              <w:rPr>
                <w:rFonts w:hint="eastAsia"/>
                <w:b/>
                <w:bCs/>
                <w:szCs w:val="21"/>
              </w:rPr>
              <w:t>２．審査基準の明確化</w:t>
            </w:r>
          </w:p>
        </w:tc>
      </w:tr>
      <w:tr w:rsidR="00823EE8" w14:paraId="4305D3CA" w14:textId="77777777" w:rsidTr="00C21DC2">
        <w:tc>
          <w:tcPr>
            <w:tcW w:w="625" w:type="dxa"/>
          </w:tcPr>
          <w:p w14:paraId="132B76E1" w14:textId="027489AE" w:rsidR="00823EE8" w:rsidRDefault="005D7F12" w:rsidP="005D7F12">
            <w:pPr>
              <w:jc w:val="right"/>
            </w:pPr>
            <w:r>
              <w:rPr>
                <w:rFonts w:hint="eastAsia"/>
              </w:rPr>
              <w:t>(</w:t>
            </w:r>
            <w:r w:rsidR="00823EE8">
              <w:rPr>
                <w:rFonts w:hint="eastAsia"/>
              </w:rPr>
              <w:t>8</w:t>
            </w:r>
            <w:r>
              <w:rPr>
                <w:rFonts w:hint="eastAsia"/>
              </w:rPr>
              <w:t>)</w:t>
            </w:r>
          </w:p>
        </w:tc>
        <w:tc>
          <w:tcPr>
            <w:tcW w:w="8745" w:type="dxa"/>
          </w:tcPr>
          <w:p w14:paraId="057C428D" w14:textId="32450581" w:rsidR="00823EE8" w:rsidRDefault="00823EE8" w:rsidP="00AE3BBE">
            <w:r w:rsidRPr="00823EE8">
              <w:t>審査基準を</w:t>
            </w:r>
            <w:r w:rsidR="005A0782">
              <w:rPr>
                <w:rFonts w:hint="eastAsia"/>
              </w:rPr>
              <w:t>確認し</w:t>
            </w:r>
            <w:r w:rsidRPr="00823EE8">
              <w:t>、事前に選考委員会全体で合意した。</w:t>
            </w:r>
          </w:p>
        </w:tc>
        <w:tc>
          <w:tcPr>
            <w:tcW w:w="831" w:type="dxa"/>
          </w:tcPr>
          <w:p w14:paraId="0B11C02A" w14:textId="77777777" w:rsidR="00823EE8" w:rsidRDefault="00823EE8" w:rsidP="00E051FD">
            <w:pPr>
              <w:jc w:val="center"/>
            </w:pPr>
            <w:r>
              <w:rPr>
                <w:rFonts w:hint="eastAsia"/>
              </w:rPr>
              <w:t>□</w:t>
            </w:r>
          </w:p>
        </w:tc>
      </w:tr>
      <w:tr w:rsidR="00823EE8" w14:paraId="43CF10DF" w14:textId="77777777" w:rsidTr="00C21DC2">
        <w:tc>
          <w:tcPr>
            <w:tcW w:w="625" w:type="dxa"/>
          </w:tcPr>
          <w:p w14:paraId="519ABFA1" w14:textId="65CA41AE" w:rsidR="00823EE8" w:rsidRDefault="005D7F12" w:rsidP="005D7F12">
            <w:pPr>
              <w:jc w:val="right"/>
            </w:pPr>
            <w:r>
              <w:rPr>
                <w:rFonts w:hint="eastAsia"/>
              </w:rPr>
              <w:t>(</w:t>
            </w:r>
            <w:r w:rsidR="00823EE8">
              <w:rPr>
                <w:rFonts w:hint="eastAsia"/>
              </w:rPr>
              <w:t>9</w:t>
            </w:r>
            <w:r>
              <w:rPr>
                <w:rFonts w:hint="eastAsia"/>
              </w:rPr>
              <w:t>)</w:t>
            </w:r>
          </w:p>
        </w:tc>
        <w:tc>
          <w:tcPr>
            <w:tcW w:w="8745" w:type="dxa"/>
          </w:tcPr>
          <w:p w14:paraId="38B655C3" w14:textId="0FD9713A" w:rsidR="004A509A" w:rsidRDefault="00823EE8" w:rsidP="00AE3BBE">
            <w:r w:rsidRPr="00823EE8">
              <w:t>出産、育児、介護等のライフイベントを経た応募者が、それを理由とする不当な評価（例：チャイルド・ペナルティ）を受けることがないよう、審査基準の中にその旨を明記した。</w:t>
            </w:r>
          </w:p>
        </w:tc>
        <w:tc>
          <w:tcPr>
            <w:tcW w:w="831" w:type="dxa"/>
          </w:tcPr>
          <w:p w14:paraId="4604DE40" w14:textId="77777777" w:rsidR="00823EE8" w:rsidRDefault="00823EE8" w:rsidP="00E051FD">
            <w:pPr>
              <w:jc w:val="center"/>
            </w:pPr>
            <w:r>
              <w:rPr>
                <w:rFonts w:hint="eastAsia"/>
              </w:rPr>
              <w:t>□</w:t>
            </w:r>
          </w:p>
        </w:tc>
      </w:tr>
      <w:tr w:rsidR="00823EE8" w14:paraId="3EF05597" w14:textId="77777777" w:rsidTr="00C21DC2">
        <w:tc>
          <w:tcPr>
            <w:tcW w:w="625" w:type="dxa"/>
          </w:tcPr>
          <w:p w14:paraId="79C709C2" w14:textId="00949393" w:rsidR="00823EE8" w:rsidRDefault="005D7F12" w:rsidP="005D7F12">
            <w:pPr>
              <w:jc w:val="right"/>
            </w:pPr>
            <w:r>
              <w:rPr>
                <w:rFonts w:hint="eastAsia"/>
              </w:rPr>
              <w:t>(</w:t>
            </w:r>
            <w:r w:rsidR="00823EE8">
              <w:rPr>
                <w:rFonts w:hint="eastAsia"/>
              </w:rPr>
              <w:t>10</w:t>
            </w:r>
            <w:r>
              <w:rPr>
                <w:rFonts w:hint="eastAsia"/>
              </w:rPr>
              <w:t>)</w:t>
            </w:r>
          </w:p>
        </w:tc>
        <w:tc>
          <w:tcPr>
            <w:tcW w:w="8745" w:type="dxa"/>
          </w:tcPr>
          <w:p w14:paraId="07D53CE6" w14:textId="77777777" w:rsidR="00823EE8" w:rsidRDefault="00823EE8" w:rsidP="00AE3BBE">
            <w:r w:rsidRPr="00823EE8">
              <w:t>応募者が出産、育児、介護、病気等の理由により、過去に研究活動を中断・遅延した期間があれば、その点を応募書類に記載できるよう、公募要項に明記した。</w:t>
            </w:r>
          </w:p>
          <w:p w14:paraId="45B4BB41" w14:textId="77777777" w:rsidR="00AD4A1B" w:rsidRDefault="00AD4A1B" w:rsidP="00AE3BBE">
            <w:r>
              <w:rPr>
                <w:rFonts w:hint="eastAsia"/>
              </w:rPr>
              <w:lastRenderedPageBreak/>
              <w:t>（例文）</w:t>
            </w:r>
          </w:p>
          <w:p w14:paraId="63CE5401" w14:textId="0AD95279" w:rsidR="00AD4A1B" w:rsidRDefault="00AD4A1B" w:rsidP="00AE3BBE">
            <w:r w:rsidRPr="00AD4A1B">
              <w:rPr>
                <w:rFonts w:hint="eastAsia"/>
              </w:rPr>
              <w:t>出産・育児・介護</w:t>
            </w:r>
            <w:r>
              <w:rPr>
                <w:rFonts w:hint="eastAsia"/>
              </w:rPr>
              <w:t>・病気</w:t>
            </w:r>
            <w:r w:rsidRPr="00AD4A1B">
              <w:rPr>
                <w:rFonts w:hint="eastAsia"/>
              </w:rPr>
              <w:t>等の</w:t>
            </w:r>
            <w:r>
              <w:rPr>
                <w:rFonts w:hint="eastAsia"/>
              </w:rPr>
              <w:t>理由により、</w:t>
            </w:r>
            <w:r w:rsidRPr="00AD4A1B">
              <w:rPr>
                <w:rFonts w:hint="eastAsia"/>
              </w:rPr>
              <w:t>過去に研究活動を中断・遅延した期間があれば、その点を</w:t>
            </w:r>
            <w:r w:rsidR="008334C2">
              <w:rPr>
                <w:rFonts w:hint="eastAsia"/>
              </w:rPr>
              <w:t>履歴書</w:t>
            </w:r>
            <w:r w:rsidRPr="00B372B5">
              <w:rPr>
                <w:rFonts w:hint="eastAsia"/>
              </w:rPr>
              <w:t>に</w:t>
            </w:r>
            <w:r w:rsidRPr="00CB55FF">
              <w:rPr>
                <w:rFonts w:hint="eastAsia"/>
              </w:rPr>
              <w:t>記載</w:t>
            </w:r>
            <w:r w:rsidR="001C0C1B" w:rsidRPr="00CB55FF">
              <w:rPr>
                <w:rFonts w:hint="eastAsia"/>
              </w:rPr>
              <w:t>することができます。</w:t>
            </w:r>
            <w:r w:rsidR="00487DA7" w:rsidRPr="002824BE">
              <w:rPr>
                <w:rFonts w:hint="eastAsia"/>
              </w:rPr>
              <w:t>本学ではそれを記載したことにより、不当な評価を受けることはありません。</w:t>
            </w:r>
          </w:p>
        </w:tc>
        <w:tc>
          <w:tcPr>
            <w:tcW w:w="831" w:type="dxa"/>
          </w:tcPr>
          <w:p w14:paraId="7D79A65E" w14:textId="77777777" w:rsidR="00823EE8" w:rsidRDefault="00823EE8" w:rsidP="00E051FD">
            <w:pPr>
              <w:jc w:val="center"/>
            </w:pPr>
            <w:r>
              <w:rPr>
                <w:rFonts w:hint="eastAsia"/>
              </w:rPr>
              <w:lastRenderedPageBreak/>
              <w:t>□</w:t>
            </w:r>
          </w:p>
        </w:tc>
      </w:tr>
      <w:tr w:rsidR="00823EE8" w14:paraId="3323EB0F" w14:textId="77777777" w:rsidTr="00C21DC2">
        <w:tc>
          <w:tcPr>
            <w:tcW w:w="625" w:type="dxa"/>
          </w:tcPr>
          <w:p w14:paraId="310695BD" w14:textId="6F46358A" w:rsidR="00823EE8" w:rsidRDefault="005D7F12" w:rsidP="005D7F12">
            <w:pPr>
              <w:jc w:val="right"/>
            </w:pPr>
            <w:r>
              <w:rPr>
                <w:rFonts w:hint="eastAsia"/>
              </w:rPr>
              <w:t>(</w:t>
            </w:r>
            <w:r w:rsidR="00823EE8">
              <w:rPr>
                <w:rFonts w:hint="eastAsia"/>
              </w:rPr>
              <w:t>11</w:t>
            </w:r>
            <w:r>
              <w:rPr>
                <w:rFonts w:hint="eastAsia"/>
              </w:rPr>
              <w:t>)</w:t>
            </w:r>
          </w:p>
        </w:tc>
        <w:tc>
          <w:tcPr>
            <w:tcW w:w="8745" w:type="dxa"/>
          </w:tcPr>
          <w:p w14:paraId="64AB44CE" w14:textId="093E29AF" w:rsidR="00823EE8" w:rsidRDefault="00E051FD" w:rsidP="00AE3BBE">
            <w:r w:rsidRPr="00E051FD">
              <w:t>面接の場では、候補者の婚姻状況や家族構成に関する質問は行わない。ただし、候補者からそれらについての話があった場合には、誠実に対応</w:t>
            </w:r>
            <w:r w:rsidR="00FF094C" w:rsidRPr="005A0782">
              <w:rPr>
                <w:rFonts w:hint="eastAsia"/>
              </w:rPr>
              <w:t>すること</w:t>
            </w:r>
            <w:r w:rsidRPr="00E051FD">
              <w:t>を、選考委員全員で共有し、理解した。</w:t>
            </w:r>
          </w:p>
        </w:tc>
        <w:tc>
          <w:tcPr>
            <w:tcW w:w="831" w:type="dxa"/>
          </w:tcPr>
          <w:p w14:paraId="197B882D" w14:textId="5D217878" w:rsidR="00823EE8" w:rsidRDefault="00E051FD" w:rsidP="00E051FD">
            <w:pPr>
              <w:jc w:val="center"/>
            </w:pPr>
            <w:r>
              <w:rPr>
                <w:rFonts w:hint="eastAsia"/>
              </w:rPr>
              <w:t>□</w:t>
            </w:r>
          </w:p>
        </w:tc>
      </w:tr>
      <w:tr w:rsidR="00823EE8" w14:paraId="2D9E87D4" w14:textId="77777777" w:rsidTr="00C21DC2">
        <w:tc>
          <w:tcPr>
            <w:tcW w:w="625" w:type="dxa"/>
          </w:tcPr>
          <w:p w14:paraId="03FD6795" w14:textId="3395D18F" w:rsidR="00823EE8" w:rsidRDefault="005D7F12" w:rsidP="005D7F12">
            <w:pPr>
              <w:jc w:val="right"/>
            </w:pPr>
            <w:r>
              <w:rPr>
                <w:rFonts w:hint="eastAsia"/>
              </w:rPr>
              <w:t>(</w:t>
            </w:r>
            <w:r w:rsidR="00823EE8">
              <w:rPr>
                <w:rFonts w:hint="eastAsia"/>
              </w:rPr>
              <w:t>12</w:t>
            </w:r>
            <w:r>
              <w:rPr>
                <w:rFonts w:hint="eastAsia"/>
              </w:rPr>
              <w:t>)</w:t>
            </w:r>
          </w:p>
        </w:tc>
        <w:tc>
          <w:tcPr>
            <w:tcW w:w="8745" w:type="dxa"/>
          </w:tcPr>
          <w:p w14:paraId="2B7B7D65" w14:textId="17D49AF2" w:rsidR="00823EE8" w:rsidRDefault="00E051FD" w:rsidP="00AE3BBE">
            <w:r w:rsidRPr="00E051FD">
              <w:t>着任後に教育や研究の場で多様性の推進に貢献する能力や意欲があるなど</w:t>
            </w:r>
            <w:r w:rsidR="00AC17DE">
              <w:rPr>
                <w:rFonts w:hint="eastAsia"/>
              </w:rPr>
              <w:t>の</w:t>
            </w:r>
            <w:r w:rsidRPr="00E051FD">
              <w:t>「多様性の推進」を、審査基準に加えた。</w:t>
            </w:r>
          </w:p>
        </w:tc>
        <w:tc>
          <w:tcPr>
            <w:tcW w:w="831" w:type="dxa"/>
          </w:tcPr>
          <w:p w14:paraId="3B86635C" w14:textId="4CABEDE6" w:rsidR="00823EE8" w:rsidRDefault="00E051FD" w:rsidP="00E051FD">
            <w:pPr>
              <w:jc w:val="center"/>
            </w:pPr>
            <w:r>
              <w:rPr>
                <w:rFonts w:hint="eastAsia"/>
              </w:rPr>
              <w:t>□</w:t>
            </w:r>
          </w:p>
        </w:tc>
      </w:tr>
    </w:tbl>
    <w:p w14:paraId="7695FCF3" w14:textId="77777777" w:rsidR="00823EE8" w:rsidRPr="00E051FD" w:rsidRDefault="00823EE8" w:rsidP="00E051FD"/>
    <w:sectPr w:rsidR="00823EE8" w:rsidRPr="00E051FD" w:rsidSect="00D941F4">
      <w:pgSz w:w="11906" w:h="16838"/>
      <w:pgMar w:top="1418" w:right="1134" w:bottom="158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D1B9C" w14:textId="77777777" w:rsidR="00803A09" w:rsidRDefault="00803A09" w:rsidP="00823EE8">
      <w:r>
        <w:separator/>
      </w:r>
    </w:p>
  </w:endnote>
  <w:endnote w:type="continuationSeparator" w:id="0">
    <w:p w14:paraId="009D2E53" w14:textId="77777777" w:rsidR="00803A09" w:rsidRDefault="00803A09" w:rsidP="0082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9EF27" w14:textId="77777777" w:rsidR="00803A09" w:rsidRDefault="00803A09" w:rsidP="00823EE8">
      <w:r>
        <w:separator/>
      </w:r>
    </w:p>
  </w:footnote>
  <w:footnote w:type="continuationSeparator" w:id="0">
    <w:p w14:paraId="67527263" w14:textId="77777777" w:rsidR="00803A09" w:rsidRDefault="00803A09" w:rsidP="00823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65DD"/>
    <w:multiLevelType w:val="hybridMultilevel"/>
    <w:tmpl w:val="51823BD4"/>
    <w:lvl w:ilvl="0" w:tplc="CEC637CE">
      <w:start w:val="1"/>
      <w:numFmt w:val="decimal"/>
      <w:lvlText w:val="(%1)"/>
      <w:lvlJc w:val="left"/>
      <w:pPr>
        <w:ind w:left="440" w:hanging="440"/>
      </w:pPr>
      <w:rPr>
        <w:rFonts w:hint="default"/>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203838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2B"/>
    <w:rsid w:val="000436D8"/>
    <w:rsid w:val="00046D77"/>
    <w:rsid w:val="00064A9A"/>
    <w:rsid w:val="000A017A"/>
    <w:rsid w:val="000B36F4"/>
    <w:rsid w:val="001358BF"/>
    <w:rsid w:val="00165D27"/>
    <w:rsid w:val="001920DD"/>
    <w:rsid w:val="001C058E"/>
    <w:rsid w:val="001C0C1B"/>
    <w:rsid w:val="001F56CA"/>
    <w:rsid w:val="001F6E94"/>
    <w:rsid w:val="001F7C72"/>
    <w:rsid w:val="002824BE"/>
    <w:rsid w:val="002C7032"/>
    <w:rsid w:val="002E79DE"/>
    <w:rsid w:val="00387B06"/>
    <w:rsid w:val="00406FDE"/>
    <w:rsid w:val="00487DA7"/>
    <w:rsid w:val="004A509A"/>
    <w:rsid w:val="004B3521"/>
    <w:rsid w:val="00570B12"/>
    <w:rsid w:val="005A0782"/>
    <w:rsid w:val="005D7F12"/>
    <w:rsid w:val="006306F1"/>
    <w:rsid w:val="006413BC"/>
    <w:rsid w:val="00644DDA"/>
    <w:rsid w:val="00667120"/>
    <w:rsid w:val="006F7CF3"/>
    <w:rsid w:val="007428B9"/>
    <w:rsid w:val="00765A42"/>
    <w:rsid w:val="00780422"/>
    <w:rsid w:val="00797D3E"/>
    <w:rsid w:val="007A1F0C"/>
    <w:rsid w:val="00803A09"/>
    <w:rsid w:val="00822591"/>
    <w:rsid w:val="00823EE8"/>
    <w:rsid w:val="008334C2"/>
    <w:rsid w:val="00851486"/>
    <w:rsid w:val="0094146F"/>
    <w:rsid w:val="00954BF6"/>
    <w:rsid w:val="00975DEA"/>
    <w:rsid w:val="00A0419B"/>
    <w:rsid w:val="00A47F66"/>
    <w:rsid w:val="00A541A2"/>
    <w:rsid w:val="00A95203"/>
    <w:rsid w:val="00AC17DE"/>
    <w:rsid w:val="00AD4A1B"/>
    <w:rsid w:val="00AE0091"/>
    <w:rsid w:val="00B2334A"/>
    <w:rsid w:val="00B27CBA"/>
    <w:rsid w:val="00B372B5"/>
    <w:rsid w:val="00BB297B"/>
    <w:rsid w:val="00BB39D7"/>
    <w:rsid w:val="00BB7650"/>
    <w:rsid w:val="00C06388"/>
    <w:rsid w:val="00C21DC2"/>
    <w:rsid w:val="00C31FB0"/>
    <w:rsid w:val="00C377A6"/>
    <w:rsid w:val="00C74EF1"/>
    <w:rsid w:val="00C95F36"/>
    <w:rsid w:val="00CB55FF"/>
    <w:rsid w:val="00CE3361"/>
    <w:rsid w:val="00CE4443"/>
    <w:rsid w:val="00D1202B"/>
    <w:rsid w:val="00D457B1"/>
    <w:rsid w:val="00D56F9C"/>
    <w:rsid w:val="00D71E2D"/>
    <w:rsid w:val="00D73FD9"/>
    <w:rsid w:val="00D87319"/>
    <w:rsid w:val="00D941F4"/>
    <w:rsid w:val="00DC25BA"/>
    <w:rsid w:val="00E051FD"/>
    <w:rsid w:val="00E52610"/>
    <w:rsid w:val="00ED79CB"/>
    <w:rsid w:val="00EF3573"/>
    <w:rsid w:val="00F37215"/>
    <w:rsid w:val="00FC1EC8"/>
    <w:rsid w:val="00FE759F"/>
    <w:rsid w:val="00FF094C"/>
    <w:rsid w:val="00FF2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8B802"/>
  <w15:chartTrackingRefBased/>
  <w15:docId w15:val="{581FD705-6988-47B3-BE33-AA8B57D8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120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20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202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120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20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20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20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20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20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20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20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202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120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20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20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20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20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20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20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20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0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20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02B"/>
    <w:pPr>
      <w:spacing w:before="160" w:after="160"/>
      <w:jc w:val="center"/>
    </w:pPr>
    <w:rPr>
      <w:i/>
      <w:iCs/>
      <w:color w:val="404040" w:themeColor="text1" w:themeTint="BF"/>
    </w:rPr>
  </w:style>
  <w:style w:type="character" w:customStyle="1" w:styleId="a8">
    <w:name w:val="引用文 (文字)"/>
    <w:basedOn w:val="a0"/>
    <w:link w:val="a7"/>
    <w:uiPriority w:val="29"/>
    <w:rsid w:val="00D1202B"/>
    <w:rPr>
      <w:i/>
      <w:iCs/>
      <w:color w:val="404040" w:themeColor="text1" w:themeTint="BF"/>
    </w:rPr>
  </w:style>
  <w:style w:type="paragraph" w:styleId="a9">
    <w:name w:val="List Paragraph"/>
    <w:basedOn w:val="a"/>
    <w:uiPriority w:val="34"/>
    <w:qFormat/>
    <w:rsid w:val="00D1202B"/>
    <w:pPr>
      <w:ind w:left="720"/>
      <w:contextualSpacing/>
    </w:pPr>
  </w:style>
  <w:style w:type="character" w:styleId="21">
    <w:name w:val="Intense Emphasis"/>
    <w:basedOn w:val="a0"/>
    <w:uiPriority w:val="21"/>
    <w:qFormat/>
    <w:rsid w:val="00D1202B"/>
    <w:rPr>
      <w:i/>
      <w:iCs/>
      <w:color w:val="0F4761" w:themeColor="accent1" w:themeShade="BF"/>
    </w:rPr>
  </w:style>
  <w:style w:type="paragraph" w:styleId="22">
    <w:name w:val="Intense Quote"/>
    <w:basedOn w:val="a"/>
    <w:next w:val="a"/>
    <w:link w:val="23"/>
    <w:uiPriority w:val="30"/>
    <w:qFormat/>
    <w:rsid w:val="00D120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202B"/>
    <w:rPr>
      <w:i/>
      <w:iCs/>
      <w:color w:val="0F4761" w:themeColor="accent1" w:themeShade="BF"/>
    </w:rPr>
  </w:style>
  <w:style w:type="character" w:styleId="24">
    <w:name w:val="Intense Reference"/>
    <w:basedOn w:val="a0"/>
    <w:uiPriority w:val="32"/>
    <w:qFormat/>
    <w:rsid w:val="00D1202B"/>
    <w:rPr>
      <w:b/>
      <w:bCs/>
      <w:smallCaps/>
      <w:color w:val="0F4761" w:themeColor="accent1" w:themeShade="BF"/>
      <w:spacing w:val="5"/>
    </w:rPr>
  </w:style>
  <w:style w:type="paragraph" w:styleId="aa">
    <w:name w:val="header"/>
    <w:basedOn w:val="a"/>
    <w:link w:val="ab"/>
    <w:uiPriority w:val="99"/>
    <w:unhideWhenUsed/>
    <w:rsid w:val="00823EE8"/>
    <w:pPr>
      <w:tabs>
        <w:tab w:val="center" w:pos="4252"/>
        <w:tab w:val="right" w:pos="8504"/>
      </w:tabs>
      <w:snapToGrid w:val="0"/>
    </w:pPr>
  </w:style>
  <w:style w:type="character" w:customStyle="1" w:styleId="ab">
    <w:name w:val="ヘッダー (文字)"/>
    <w:basedOn w:val="a0"/>
    <w:link w:val="aa"/>
    <w:uiPriority w:val="99"/>
    <w:rsid w:val="00823EE8"/>
  </w:style>
  <w:style w:type="paragraph" w:styleId="ac">
    <w:name w:val="footer"/>
    <w:basedOn w:val="a"/>
    <w:link w:val="ad"/>
    <w:uiPriority w:val="99"/>
    <w:unhideWhenUsed/>
    <w:rsid w:val="00823EE8"/>
    <w:pPr>
      <w:tabs>
        <w:tab w:val="center" w:pos="4252"/>
        <w:tab w:val="right" w:pos="8504"/>
      </w:tabs>
      <w:snapToGrid w:val="0"/>
    </w:pPr>
  </w:style>
  <w:style w:type="character" w:customStyle="1" w:styleId="ad">
    <w:name w:val="フッター (文字)"/>
    <w:basedOn w:val="a0"/>
    <w:link w:val="ac"/>
    <w:uiPriority w:val="99"/>
    <w:rsid w:val="00823EE8"/>
  </w:style>
  <w:style w:type="table" w:styleId="ae">
    <w:name w:val="Table Grid"/>
    <w:basedOn w:val="a1"/>
    <w:uiPriority w:val="39"/>
    <w:rsid w:val="008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23EE8"/>
    <w:rPr>
      <w:color w:val="467886" w:themeColor="hyperlink"/>
      <w:u w:val="single"/>
    </w:rPr>
  </w:style>
  <w:style w:type="character" w:styleId="af0">
    <w:name w:val="Unresolved Mention"/>
    <w:basedOn w:val="a0"/>
    <w:uiPriority w:val="99"/>
    <w:semiHidden/>
    <w:unhideWhenUsed/>
    <w:rsid w:val="00823EE8"/>
    <w:rPr>
      <w:color w:val="605E5C"/>
      <w:shd w:val="clear" w:color="auto" w:fill="E1DFDD"/>
    </w:rPr>
  </w:style>
  <w:style w:type="character" w:styleId="af1">
    <w:name w:val="FollowedHyperlink"/>
    <w:basedOn w:val="a0"/>
    <w:uiPriority w:val="99"/>
    <w:semiHidden/>
    <w:unhideWhenUsed/>
    <w:rsid w:val="00823EE8"/>
    <w:rPr>
      <w:color w:val="96607D" w:themeColor="followedHyperlink"/>
      <w:u w:val="single"/>
    </w:rPr>
  </w:style>
  <w:style w:type="paragraph" w:styleId="af2">
    <w:name w:val="Revision"/>
    <w:hidden/>
    <w:uiPriority w:val="99"/>
    <w:semiHidden/>
    <w:rsid w:val="00C31FB0"/>
  </w:style>
  <w:style w:type="character" w:styleId="af3">
    <w:name w:val="annotation reference"/>
    <w:basedOn w:val="a0"/>
    <w:uiPriority w:val="99"/>
    <w:semiHidden/>
    <w:unhideWhenUsed/>
    <w:rsid w:val="00FF094C"/>
    <w:rPr>
      <w:sz w:val="18"/>
      <w:szCs w:val="18"/>
    </w:rPr>
  </w:style>
  <w:style w:type="paragraph" w:styleId="af4">
    <w:name w:val="annotation text"/>
    <w:basedOn w:val="a"/>
    <w:link w:val="af5"/>
    <w:uiPriority w:val="99"/>
    <w:unhideWhenUsed/>
    <w:rsid w:val="00FF094C"/>
    <w:pPr>
      <w:jc w:val="left"/>
    </w:pPr>
  </w:style>
  <w:style w:type="character" w:customStyle="1" w:styleId="af5">
    <w:name w:val="コメント文字列 (文字)"/>
    <w:basedOn w:val="a0"/>
    <w:link w:val="af4"/>
    <w:uiPriority w:val="99"/>
    <w:rsid w:val="00FF094C"/>
  </w:style>
  <w:style w:type="paragraph" w:styleId="af6">
    <w:name w:val="annotation subject"/>
    <w:basedOn w:val="af4"/>
    <w:next w:val="af4"/>
    <w:link w:val="af7"/>
    <w:uiPriority w:val="99"/>
    <w:semiHidden/>
    <w:unhideWhenUsed/>
    <w:rsid w:val="00FF094C"/>
    <w:rPr>
      <w:b/>
      <w:bCs/>
    </w:rPr>
  </w:style>
  <w:style w:type="character" w:customStyle="1" w:styleId="af7">
    <w:name w:val="コメント内容 (文字)"/>
    <w:basedOn w:val="af5"/>
    <w:link w:val="af6"/>
    <w:uiPriority w:val="99"/>
    <w:semiHidden/>
    <w:rsid w:val="00FF09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yodo-sankaku.provost.nagoya-u.ac.jp/about/manual/" TargetMode="External"/><Relationship Id="rId13" Type="http://schemas.openxmlformats.org/officeDocument/2006/relationships/hyperlink" Target="https://www.kyodo-sankaku.provost.nagoya-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jrenrakukai.org/enquet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yodo-sankaku.provost.nagoya-u.ac.jp/report/report.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yodo-sankaku.provost.nagoya-u.ac.jp/research_analysis/outcomes.html" TargetMode="External"/><Relationship Id="rId4" Type="http://schemas.openxmlformats.org/officeDocument/2006/relationships/settings" Target="settings.xml"/><Relationship Id="rId9" Type="http://schemas.openxmlformats.org/officeDocument/2006/relationships/hyperlink" Target="https://tact.ac.thers.ac.jp/portal" TargetMode="External"/><Relationship Id="rId14" Type="http://schemas.openxmlformats.org/officeDocument/2006/relationships/hyperlink" Target="https://www.thers.ac.jp/about/declaration/deib/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A0EE0-F176-42E5-9572-66C10A9E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Kaede</dc:creator>
  <cp:keywords/>
  <dc:description/>
  <cp:lastModifiedBy>MATSUMOTO Aya</cp:lastModifiedBy>
  <cp:revision>6</cp:revision>
  <cp:lastPrinted>2024-12-11T08:54:00Z</cp:lastPrinted>
  <dcterms:created xsi:type="dcterms:W3CDTF">2024-12-13T01:37:00Z</dcterms:created>
  <dcterms:modified xsi:type="dcterms:W3CDTF">2025-01-22T06:39:00Z</dcterms:modified>
</cp:coreProperties>
</file>