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464A" w14:textId="77777777" w:rsidR="00820E0F" w:rsidRDefault="00000000" w:rsidP="00CA22E7">
      <w:pPr>
        <w:pStyle w:val="1"/>
        <w:spacing w:before="0" w:line="240" w:lineRule="auto"/>
      </w:pPr>
      <w:r>
        <w:t>Checklist Based on “Faculty Recruitment Manual for Promoting Diversity at the University”</w:t>
      </w:r>
    </w:p>
    <w:p w14:paraId="54E9647E" w14:textId="77777777" w:rsidR="00820E0F" w:rsidRDefault="00000000" w:rsidP="00CA22E7">
      <w:pPr>
        <w:spacing w:after="0" w:line="240" w:lineRule="auto"/>
      </w:pPr>
      <w:r>
        <w:t>Department:</w:t>
      </w:r>
    </w:p>
    <w:p w14:paraId="18C106EC" w14:textId="79616E80" w:rsidR="00820E0F" w:rsidRDefault="00000000" w:rsidP="00CA22E7">
      <w:pPr>
        <w:spacing w:after="0" w:line="240" w:lineRule="auto"/>
      </w:pPr>
      <w:r>
        <w:t>Final Review Date:</w:t>
      </w:r>
      <w:r>
        <w:t xml:space="preserve">　　　</w:t>
      </w:r>
    </w:p>
    <w:p w14:paraId="40335AB6" w14:textId="77777777" w:rsidR="00820E0F" w:rsidRDefault="00000000" w:rsidP="00CA22E7">
      <w:pPr>
        <w:spacing w:after="0" w:line="240" w:lineRule="auto"/>
      </w:pPr>
      <w:r>
        <w:t>Title of Personnel Case:</w:t>
      </w:r>
    </w:p>
    <w:p w14:paraId="0D2BBCD4" w14:textId="77777777" w:rsidR="00820E0F" w:rsidRDefault="00000000" w:rsidP="00CA22E7">
      <w:pPr>
        <w:spacing w:after="0" w:line="240" w:lineRule="auto"/>
      </w:pPr>
      <w:r>
        <w:t>Name of Person Completing the Form:</w:t>
      </w:r>
    </w:p>
    <w:p w14:paraId="0B19D6DD" w14:textId="77777777" w:rsidR="00CA22E7" w:rsidRDefault="00CA22E7" w:rsidP="00CA22E7">
      <w:pPr>
        <w:spacing w:after="0" w:line="240" w:lineRule="auto"/>
      </w:pPr>
    </w:p>
    <w:p w14:paraId="61F7DA25" w14:textId="77777777" w:rsidR="00820E0F" w:rsidRDefault="00000000" w:rsidP="00CA22E7">
      <w:pPr>
        <w:pStyle w:val="21"/>
        <w:spacing w:before="0" w:line="240" w:lineRule="auto"/>
      </w:pPr>
      <w:r>
        <w:t>1. Preparations by the Faculty Selection Committee</w:t>
      </w:r>
    </w:p>
    <w:tbl>
      <w:tblPr>
        <w:tblW w:w="0" w:type="auto"/>
        <w:tblLook w:val="04A0" w:firstRow="1" w:lastRow="0" w:firstColumn="1" w:lastColumn="0" w:noHBand="0" w:noVBand="1"/>
      </w:tblPr>
      <w:tblGrid>
        <w:gridCol w:w="665"/>
        <w:gridCol w:w="7459"/>
        <w:gridCol w:w="516"/>
      </w:tblGrid>
      <w:tr w:rsidR="00820E0F" w14:paraId="66034CF2" w14:textId="77777777" w:rsidTr="00CA22E7">
        <w:tc>
          <w:tcPr>
            <w:tcW w:w="675" w:type="dxa"/>
          </w:tcPr>
          <w:p w14:paraId="7C78A211" w14:textId="77777777" w:rsidR="00820E0F" w:rsidRDefault="00000000" w:rsidP="00CA22E7">
            <w:pPr>
              <w:spacing w:after="0" w:line="240" w:lineRule="auto"/>
            </w:pPr>
            <w:r>
              <w:t>No.</w:t>
            </w:r>
          </w:p>
        </w:tc>
        <w:tc>
          <w:tcPr>
            <w:tcW w:w="7655" w:type="dxa"/>
          </w:tcPr>
          <w:p w14:paraId="3AEE6435" w14:textId="77777777" w:rsidR="00820E0F" w:rsidRDefault="00000000" w:rsidP="00CA22E7">
            <w:pPr>
              <w:spacing w:after="0" w:line="240" w:lineRule="auto"/>
            </w:pPr>
            <w:r>
              <w:t>Item</w:t>
            </w:r>
          </w:p>
        </w:tc>
        <w:tc>
          <w:tcPr>
            <w:tcW w:w="526" w:type="dxa"/>
          </w:tcPr>
          <w:p w14:paraId="66870CCF" w14:textId="77777777" w:rsidR="00820E0F" w:rsidRDefault="00000000" w:rsidP="00CA22E7">
            <w:pPr>
              <w:spacing w:after="0" w:line="240" w:lineRule="auto"/>
            </w:pPr>
            <w:r>
              <w:t>✓</w:t>
            </w:r>
          </w:p>
        </w:tc>
      </w:tr>
      <w:tr w:rsidR="00820E0F" w14:paraId="3C21990E" w14:textId="77777777" w:rsidTr="00CA22E7">
        <w:tc>
          <w:tcPr>
            <w:tcW w:w="675" w:type="dxa"/>
          </w:tcPr>
          <w:p w14:paraId="27ABC166" w14:textId="77777777" w:rsidR="00820E0F" w:rsidRDefault="00000000" w:rsidP="00CA22E7">
            <w:pPr>
              <w:spacing w:after="0" w:line="240" w:lineRule="auto"/>
            </w:pPr>
            <w:r>
              <w:t>(1)</w:t>
            </w:r>
          </w:p>
        </w:tc>
        <w:tc>
          <w:tcPr>
            <w:tcW w:w="7655" w:type="dxa"/>
          </w:tcPr>
          <w:p w14:paraId="03272599" w14:textId="1765B624" w:rsidR="00820E0F" w:rsidRDefault="00000000" w:rsidP="00CA22E7">
            <w:pPr>
              <w:spacing w:after="0" w:line="240" w:lineRule="auto"/>
            </w:pPr>
            <w:r>
              <w:t>All members of the selection committee are required to read this Manual (*).</w:t>
            </w:r>
            <w:r>
              <w:br/>
              <w:t xml:space="preserve">* </w:t>
            </w:r>
            <w:r w:rsidR="00CA22E7" w:rsidRPr="00CA22E7">
              <w:t>https://www.kyodo-sankaku.provost.nagoya-u.ac.jp/about/manual</w:t>
            </w:r>
          </w:p>
        </w:tc>
        <w:tc>
          <w:tcPr>
            <w:tcW w:w="526" w:type="dxa"/>
          </w:tcPr>
          <w:p w14:paraId="0FDA1343" w14:textId="77777777" w:rsidR="00820E0F" w:rsidRDefault="00000000" w:rsidP="00CA22E7">
            <w:pPr>
              <w:spacing w:after="0" w:line="240" w:lineRule="auto"/>
            </w:pPr>
            <w:r>
              <w:t>□</w:t>
            </w:r>
          </w:p>
        </w:tc>
      </w:tr>
      <w:tr w:rsidR="00820E0F" w14:paraId="3F9EED84" w14:textId="77777777" w:rsidTr="00CA22E7">
        <w:tc>
          <w:tcPr>
            <w:tcW w:w="675" w:type="dxa"/>
          </w:tcPr>
          <w:p w14:paraId="6FF982E7" w14:textId="77777777" w:rsidR="00820E0F" w:rsidRDefault="00000000" w:rsidP="00CA22E7">
            <w:pPr>
              <w:spacing w:after="0" w:line="240" w:lineRule="auto"/>
            </w:pPr>
            <w:r>
              <w:t>(2)</w:t>
            </w:r>
          </w:p>
        </w:tc>
        <w:tc>
          <w:tcPr>
            <w:tcW w:w="7655" w:type="dxa"/>
          </w:tcPr>
          <w:p w14:paraId="521FC96F" w14:textId="77777777" w:rsidR="00820E0F" w:rsidRDefault="00000000" w:rsidP="00CA22E7">
            <w:pPr>
              <w:spacing w:after="0" w:line="240" w:lineRule="auto"/>
            </w:pPr>
            <w:r>
              <w:t>All members of the selection committee are required to complete the “Unconscious Bias” training.</w:t>
            </w:r>
            <w:r>
              <w:br/>
              <w:t>For Nagoya University members: https://tact.ac.thers.ac.jp/portal</w:t>
            </w:r>
            <w:r>
              <w:br/>
              <w:t>For external members: https://www.kyodo-sankaku.provost.nagoya-u.ac.jp/research_analysis/outcomes.html</w:t>
            </w:r>
          </w:p>
        </w:tc>
        <w:tc>
          <w:tcPr>
            <w:tcW w:w="526" w:type="dxa"/>
          </w:tcPr>
          <w:p w14:paraId="287F885C" w14:textId="77777777" w:rsidR="00820E0F" w:rsidRDefault="00000000" w:rsidP="00CA22E7">
            <w:pPr>
              <w:spacing w:after="0" w:line="240" w:lineRule="auto"/>
            </w:pPr>
            <w:r>
              <w:t>□</w:t>
            </w:r>
          </w:p>
        </w:tc>
      </w:tr>
      <w:tr w:rsidR="00820E0F" w14:paraId="192677E9" w14:textId="77777777" w:rsidTr="00CA22E7">
        <w:tc>
          <w:tcPr>
            <w:tcW w:w="675" w:type="dxa"/>
          </w:tcPr>
          <w:p w14:paraId="4F0AAE5A" w14:textId="77777777" w:rsidR="00820E0F" w:rsidRDefault="00000000" w:rsidP="00CA22E7">
            <w:pPr>
              <w:spacing w:after="0" w:line="240" w:lineRule="auto"/>
            </w:pPr>
            <w:r>
              <w:t>(3)</w:t>
            </w:r>
          </w:p>
        </w:tc>
        <w:tc>
          <w:tcPr>
            <w:tcW w:w="7655" w:type="dxa"/>
          </w:tcPr>
          <w:p w14:paraId="67CFA4E2" w14:textId="77777777" w:rsidR="00820E0F" w:rsidRDefault="00000000" w:rsidP="00CA22E7">
            <w:pPr>
              <w:spacing w:after="0" w:line="240" w:lineRule="auto"/>
            </w:pPr>
            <w:r>
              <w:t>Prior to deliberations, the committee has confirmed basic rules to ensure all members can participate equally and that power dynamics do not inhibit open discussion.</w:t>
            </w:r>
          </w:p>
        </w:tc>
        <w:tc>
          <w:tcPr>
            <w:tcW w:w="526" w:type="dxa"/>
          </w:tcPr>
          <w:p w14:paraId="23F56B6A" w14:textId="77777777" w:rsidR="00820E0F" w:rsidRDefault="00000000" w:rsidP="00CA22E7">
            <w:pPr>
              <w:spacing w:after="0" w:line="240" w:lineRule="auto"/>
            </w:pPr>
            <w:r>
              <w:t>□</w:t>
            </w:r>
          </w:p>
        </w:tc>
      </w:tr>
      <w:tr w:rsidR="00820E0F" w14:paraId="61CC03E5" w14:textId="77777777" w:rsidTr="00CA22E7">
        <w:tc>
          <w:tcPr>
            <w:tcW w:w="675" w:type="dxa"/>
          </w:tcPr>
          <w:p w14:paraId="73D2D42C" w14:textId="77777777" w:rsidR="00820E0F" w:rsidRDefault="00000000" w:rsidP="00CA22E7">
            <w:pPr>
              <w:spacing w:after="0" w:line="240" w:lineRule="auto"/>
            </w:pPr>
            <w:r>
              <w:t>(4)</w:t>
            </w:r>
          </w:p>
        </w:tc>
        <w:tc>
          <w:tcPr>
            <w:tcW w:w="7655" w:type="dxa"/>
          </w:tcPr>
          <w:p w14:paraId="7A229477" w14:textId="77777777" w:rsidR="00820E0F" w:rsidRDefault="00000000" w:rsidP="00CA22E7">
            <w:pPr>
              <w:spacing w:after="0" w:line="240" w:lineRule="auto"/>
            </w:pPr>
            <w:r>
              <w:t>Data on the current diversity (gender, nationality, age, etc.) of the department conducting the recruitment have been obtained in advance and shared with all committee members to ensure a common understanding based on evidence.</w:t>
            </w:r>
            <w:r>
              <w:br/>
              <w:t>* For gender composition by department, refer to the “Gender Equality Report at Nagoya University.”</w:t>
            </w:r>
            <w:r>
              <w:br/>
              <w:t>https://www.kyodo-sankaku.provost.nagoya-u.ac.jp/report/report.html</w:t>
            </w:r>
          </w:p>
        </w:tc>
        <w:tc>
          <w:tcPr>
            <w:tcW w:w="526" w:type="dxa"/>
          </w:tcPr>
          <w:p w14:paraId="1BA69C6F" w14:textId="77777777" w:rsidR="00820E0F" w:rsidRDefault="00000000" w:rsidP="00CA22E7">
            <w:pPr>
              <w:spacing w:after="0" w:line="240" w:lineRule="auto"/>
            </w:pPr>
            <w:r>
              <w:t>□</w:t>
            </w:r>
          </w:p>
        </w:tc>
      </w:tr>
      <w:tr w:rsidR="00820E0F" w14:paraId="1E52D065" w14:textId="77777777" w:rsidTr="00CA22E7">
        <w:tc>
          <w:tcPr>
            <w:tcW w:w="675" w:type="dxa"/>
          </w:tcPr>
          <w:p w14:paraId="6ABE6385" w14:textId="77777777" w:rsidR="00820E0F" w:rsidRDefault="00000000" w:rsidP="00CA22E7">
            <w:pPr>
              <w:spacing w:after="0" w:line="240" w:lineRule="auto"/>
            </w:pPr>
            <w:r>
              <w:t>(5)</w:t>
            </w:r>
          </w:p>
        </w:tc>
        <w:tc>
          <w:tcPr>
            <w:tcW w:w="7655" w:type="dxa"/>
          </w:tcPr>
          <w:p w14:paraId="24FCE4C5" w14:textId="77777777" w:rsidR="00820E0F" w:rsidRDefault="00000000" w:rsidP="00CA22E7">
            <w:pPr>
              <w:spacing w:after="0" w:line="240" w:lineRule="auto"/>
            </w:pPr>
            <w:r>
              <w:t>The committee has reviewed available data from academic societies to estimate the number and proportion of women in the relevant field prior to announcing the open position.</w:t>
            </w:r>
            <w:r>
              <w:br/>
              <w:t>* For natural sciences, refer to the “Survey on Gender Ratios in Academic Societies” by the Japan Inter-Society Liaison Association Committee for Promoting Equal Participation of Men and Women in Science and Engineering.</w:t>
            </w:r>
            <w:r>
              <w:br/>
              <w:t>https://djrenrakukai.org/enquete.html#chapter-3</w:t>
            </w:r>
          </w:p>
        </w:tc>
        <w:tc>
          <w:tcPr>
            <w:tcW w:w="526" w:type="dxa"/>
          </w:tcPr>
          <w:p w14:paraId="14E13249" w14:textId="77777777" w:rsidR="00820E0F" w:rsidRDefault="00000000" w:rsidP="00CA22E7">
            <w:pPr>
              <w:spacing w:after="0" w:line="240" w:lineRule="auto"/>
            </w:pPr>
            <w:r>
              <w:t>□</w:t>
            </w:r>
          </w:p>
        </w:tc>
      </w:tr>
      <w:tr w:rsidR="00820E0F" w14:paraId="2E4B00B1" w14:textId="77777777" w:rsidTr="00CA22E7">
        <w:tc>
          <w:tcPr>
            <w:tcW w:w="675" w:type="dxa"/>
          </w:tcPr>
          <w:p w14:paraId="6A117D2B" w14:textId="77777777" w:rsidR="00820E0F" w:rsidRDefault="00000000" w:rsidP="00CA22E7">
            <w:pPr>
              <w:spacing w:after="0" w:line="240" w:lineRule="auto"/>
            </w:pPr>
            <w:r>
              <w:t>(6)</w:t>
            </w:r>
          </w:p>
        </w:tc>
        <w:tc>
          <w:tcPr>
            <w:tcW w:w="7655" w:type="dxa"/>
          </w:tcPr>
          <w:p w14:paraId="3BFBC997" w14:textId="77777777" w:rsidR="00820E0F" w:rsidRDefault="00000000" w:rsidP="00CA22E7">
            <w:pPr>
              <w:spacing w:after="0" w:line="240" w:lineRule="auto"/>
            </w:pPr>
            <w:r>
              <w:t>Based on the data regarding women in the relevant department or discipline, the committee has discussed and set a target proportion of female applicants.</w:t>
            </w:r>
          </w:p>
        </w:tc>
        <w:tc>
          <w:tcPr>
            <w:tcW w:w="526" w:type="dxa"/>
          </w:tcPr>
          <w:p w14:paraId="45718012" w14:textId="77777777" w:rsidR="00820E0F" w:rsidRDefault="00000000" w:rsidP="00CA22E7">
            <w:pPr>
              <w:spacing w:after="0" w:line="240" w:lineRule="auto"/>
            </w:pPr>
            <w:r>
              <w:t>□</w:t>
            </w:r>
          </w:p>
        </w:tc>
      </w:tr>
      <w:tr w:rsidR="00820E0F" w14:paraId="68313353" w14:textId="77777777" w:rsidTr="00CA22E7">
        <w:tc>
          <w:tcPr>
            <w:tcW w:w="675" w:type="dxa"/>
          </w:tcPr>
          <w:p w14:paraId="0E664B17" w14:textId="77777777" w:rsidR="00820E0F" w:rsidRDefault="00000000" w:rsidP="00CA22E7">
            <w:pPr>
              <w:spacing w:after="0" w:line="240" w:lineRule="auto"/>
            </w:pPr>
            <w:r>
              <w:t>(7)</w:t>
            </w:r>
          </w:p>
        </w:tc>
        <w:tc>
          <w:tcPr>
            <w:tcW w:w="7655" w:type="dxa"/>
          </w:tcPr>
          <w:p w14:paraId="055B5B18" w14:textId="77777777" w:rsidR="00820E0F" w:rsidRDefault="00000000" w:rsidP="00CA22E7">
            <w:pPr>
              <w:spacing w:after="0" w:line="240" w:lineRule="auto"/>
            </w:pPr>
            <w:r>
              <w:t>The job announcement clearly states the university’s active commitment to promoting diversity and work-life balance, with relevant links included.</w:t>
            </w:r>
            <w:r>
              <w:br/>
              <w:t>Example (English):</w:t>
            </w:r>
            <w:r>
              <w:br/>
              <w:t>Nagoya University actively promotes diversity and work-life balance. For more information, please visit:</w:t>
            </w:r>
            <w:r>
              <w:br/>
              <w:t>https://www.kyodo-sankaku.provost.nagoya-u.ac.jp/en/</w:t>
            </w:r>
            <w:r>
              <w:br/>
              <w:t>https://www.nagoya-u.ac.jp/about-nu/upload_images/deib.pdf</w:t>
            </w:r>
          </w:p>
        </w:tc>
        <w:tc>
          <w:tcPr>
            <w:tcW w:w="526" w:type="dxa"/>
          </w:tcPr>
          <w:p w14:paraId="1CC261DE" w14:textId="77777777" w:rsidR="00820E0F" w:rsidRDefault="00000000" w:rsidP="00CA22E7">
            <w:pPr>
              <w:spacing w:after="0" w:line="240" w:lineRule="auto"/>
            </w:pPr>
            <w:r>
              <w:t>□</w:t>
            </w:r>
          </w:p>
        </w:tc>
      </w:tr>
    </w:tbl>
    <w:p w14:paraId="428AE167" w14:textId="77777777" w:rsidR="00820E0F" w:rsidRDefault="00000000" w:rsidP="00CA22E7">
      <w:pPr>
        <w:pStyle w:val="21"/>
        <w:spacing w:before="0" w:line="240" w:lineRule="auto"/>
      </w:pPr>
      <w:r>
        <w:t>2. Clarification of Evaluation Criteria</w:t>
      </w:r>
    </w:p>
    <w:tbl>
      <w:tblPr>
        <w:tblW w:w="8897" w:type="dxa"/>
        <w:tblLook w:val="04A0" w:firstRow="1" w:lastRow="0" w:firstColumn="1" w:lastColumn="0" w:noHBand="0" w:noVBand="1"/>
      </w:tblPr>
      <w:tblGrid>
        <w:gridCol w:w="675"/>
        <w:gridCol w:w="7655"/>
        <w:gridCol w:w="567"/>
      </w:tblGrid>
      <w:tr w:rsidR="00820E0F" w14:paraId="68175DDF" w14:textId="77777777" w:rsidTr="00CA22E7">
        <w:tc>
          <w:tcPr>
            <w:tcW w:w="675" w:type="dxa"/>
          </w:tcPr>
          <w:p w14:paraId="64F5F59F" w14:textId="77777777" w:rsidR="00820E0F" w:rsidRDefault="00000000" w:rsidP="00CA22E7">
            <w:pPr>
              <w:spacing w:after="0" w:line="240" w:lineRule="auto"/>
            </w:pPr>
            <w:r>
              <w:t>No.</w:t>
            </w:r>
          </w:p>
        </w:tc>
        <w:tc>
          <w:tcPr>
            <w:tcW w:w="7655" w:type="dxa"/>
          </w:tcPr>
          <w:p w14:paraId="4ADCC05C" w14:textId="77777777" w:rsidR="00820E0F" w:rsidRDefault="00000000" w:rsidP="00CA22E7">
            <w:pPr>
              <w:spacing w:after="0" w:line="240" w:lineRule="auto"/>
            </w:pPr>
            <w:r>
              <w:t>Item</w:t>
            </w:r>
          </w:p>
        </w:tc>
        <w:tc>
          <w:tcPr>
            <w:tcW w:w="567" w:type="dxa"/>
          </w:tcPr>
          <w:p w14:paraId="11CC5CF8" w14:textId="77777777" w:rsidR="00820E0F" w:rsidRDefault="00000000" w:rsidP="00CA22E7">
            <w:pPr>
              <w:spacing w:after="0" w:line="240" w:lineRule="auto"/>
            </w:pPr>
            <w:r>
              <w:t>✓</w:t>
            </w:r>
          </w:p>
        </w:tc>
      </w:tr>
      <w:tr w:rsidR="00820E0F" w14:paraId="297519E5" w14:textId="77777777" w:rsidTr="00CA22E7">
        <w:tc>
          <w:tcPr>
            <w:tcW w:w="675" w:type="dxa"/>
          </w:tcPr>
          <w:p w14:paraId="637934A9" w14:textId="77777777" w:rsidR="00820E0F" w:rsidRDefault="00000000" w:rsidP="00CA22E7">
            <w:pPr>
              <w:spacing w:after="0" w:line="240" w:lineRule="auto"/>
            </w:pPr>
            <w:r>
              <w:t>(8)</w:t>
            </w:r>
          </w:p>
        </w:tc>
        <w:tc>
          <w:tcPr>
            <w:tcW w:w="7655" w:type="dxa"/>
          </w:tcPr>
          <w:p w14:paraId="3BE632E0" w14:textId="77777777" w:rsidR="00820E0F" w:rsidRDefault="00000000" w:rsidP="00CA22E7">
            <w:pPr>
              <w:spacing w:after="0" w:line="240" w:lineRule="auto"/>
            </w:pPr>
            <w:r>
              <w:t>The evaluation criteria have been reviewed and agreed upon in advance by the entire selection committee.</w:t>
            </w:r>
          </w:p>
        </w:tc>
        <w:tc>
          <w:tcPr>
            <w:tcW w:w="567" w:type="dxa"/>
          </w:tcPr>
          <w:p w14:paraId="093AA268" w14:textId="77777777" w:rsidR="00820E0F" w:rsidRDefault="00000000" w:rsidP="00CA22E7">
            <w:pPr>
              <w:spacing w:after="0" w:line="240" w:lineRule="auto"/>
            </w:pPr>
            <w:r>
              <w:t>□</w:t>
            </w:r>
          </w:p>
        </w:tc>
      </w:tr>
      <w:tr w:rsidR="00820E0F" w14:paraId="16DC7C76" w14:textId="77777777" w:rsidTr="00CA22E7">
        <w:tc>
          <w:tcPr>
            <w:tcW w:w="675" w:type="dxa"/>
          </w:tcPr>
          <w:p w14:paraId="0C6F1CD1" w14:textId="77777777" w:rsidR="00820E0F" w:rsidRDefault="00000000" w:rsidP="00CA22E7">
            <w:pPr>
              <w:spacing w:after="0" w:line="240" w:lineRule="auto"/>
            </w:pPr>
            <w:r>
              <w:t>(9)</w:t>
            </w:r>
          </w:p>
        </w:tc>
        <w:tc>
          <w:tcPr>
            <w:tcW w:w="7655" w:type="dxa"/>
          </w:tcPr>
          <w:p w14:paraId="1DB1415D" w14:textId="77777777" w:rsidR="00820E0F" w:rsidRDefault="00000000" w:rsidP="00CA22E7">
            <w:pPr>
              <w:spacing w:after="0" w:line="240" w:lineRule="auto"/>
            </w:pPr>
            <w:r>
              <w:t>The evaluation criteria explicitly state that applicants who have experienced life events such as childbirth, childcare, or caregiving shall not be unfairly evaluated (e.g., “child penalty”).</w:t>
            </w:r>
          </w:p>
        </w:tc>
        <w:tc>
          <w:tcPr>
            <w:tcW w:w="567" w:type="dxa"/>
          </w:tcPr>
          <w:p w14:paraId="3425528B" w14:textId="77777777" w:rsidR="00820E0F" w:rsidRDefault="00000000" w:rsidP="00CA22E7">
            <w:pPr>
              <w:spacing w:after="0" w:line="240" w:lineRule="auto"/>
            </w:pPr>
            <w:r>
              <w:t>□</w:t>
            </w:r>
          </w:p>
        </w:tc>
      </w:tr>
      <w:tr w:rsidR="00820E0F" w14:paraId="310B6C34" w14:textId="77777777" w:rsidTr="00CA22E7">
        <w:tc>
          <w:tcPr>
            <w:tcW w:w="675" w:type="dxa"/>
          </w:tcPr>
          <w:p w14:paraId="239F65CE" w14:textId="77777777" w:rsidR="00820E0F" w:rsidRDefault="00000000" w:rsidP="00CA22E7">
            <w:pPr>
              <w:spacing w:after="0" w:line="240" w:lineRule="auto"/>
            </w:pPr>
            <w:r>
              <w:lastRenderedPageBreak/>
              <w:t>(10)</w:t>
            </w:r>
          </w:p>
        </w:tc>
        <w:tc>
          <w:tcPr>
            <w:tcW w:w="7655" w:type="dxa"/>
          </w:tcPr>
          <w:p w14:paraId="35114662" w14:textId="77777777" w:rsidR="00820E0F" w:rsidRDefault="00000000" w:rsidP="00CA22E7">
            <w:pPr>
              <w:spacing w:after="0" w:line="240" w:lineRule="auto"/>
            </w:pPr>
            <w:r>
              <w:t>The job announcement specifies that applicants may indicate any periods during which their research activities were interrupted or delayed due to childbirth, childcare, caregiving, illness, or other reasons, and that doing so will not lead to unfair evaluation.</w:t>
            </w:r>
            <w:r>
              <w:br/>
              <w:t>Example (English):</w:t>
            </w:r>
            <w:r>
              <w:br/>
              <w:t>If you have interrupted or delayed your research activities in the past due to childbirth, childcare, caregiving, illness, or other reasons, you may indicate this on your CV. At Nagoya University, you will not be unfairly evaluated for including this information.</w:t>
            </w:r>
          </w:p>
        </w:tc>
        <w:tc>
          <w:tcPr>
            <w:tcW w:w="567" w:type="dxa"/>
          </w:tcPr>
          <w:p w14:paraId="72C6006E" w14:textId="77777777" w:rsidR="00820E0F" w:rsidRDefault="00000000" w:rsidP="00CA22E7">
            <w:pPr>
              <w:spacing w:after="0" w:line="240" w:lineRule="auto"/>
            </w:pPr>
            <w:r>
              <w:t>□</w:t>
            </w:r>
          </w:p>
        </w:tc>
      </w:tr>
      <w:tr w:rsidR="00820E0F" w14:paraId="56AF01CC" w14:textId="77777777" w:rsidTr="00CA22E7">
        <w:tc>
          <w:tcPr>
            <w:tcW w:w="675" w:type="dxa"/>
          </w:tcPr>
          <w:p w14:paraId="1E42E4A1" w14:textId="77777777" w:rsidR="00820E0F" w:rsidRDefault="00000000" w:rsidP="00CA22E7">
            <w:pPr>
              <w:spacing w:after="0" w:line="240" w:lineRule="auto"/>
            </w:pPr>
            <w:r>
              <w:t>(11)</w:t>
            </w:r>
          </w:p>
        </w:tc>
        <w:tc>
          <w:tcPr>
            <w:tcW w:w="7655" w:type="dxa"/>
          </w:tcPr>
          <w:p w14:paraId="0749B0E2" w14:textId="77777777" w:rsidR="00820E0F" w:rsidRDefault="00000000" w:rsidP="00CA22E7">
            <w:pPr>
              <w:spacing w:after="0" w:line="240" w:lineRule="auto"/>
            </w:pPr>
            <w:r>
              <w:t>During interviews, no questions are asked regarding a candidate’s marital status or family composition. If the candidate voluntarily discusses these matters, committee members shall respond appropriately and respectfully.</w:t>
            </w:r>
          </w:p>
        </w:tc>
        <w:tc>
          <w:tcPr>
            <w:tcW w:w="567" w:type="dxa"/>
          </w:tcPr>
          <w:p w14:paraId="31139104" w14:textId="77777777" w:rsidR="00820E0F" w:rsidRDefault="00000000" w:rsidP="00CA22E7">
            <w:pPr>
              <w:spacing w:after="0" w:line="240" w:lineRule="auto"/>
            </w:pPr>
            <w:r>
              <w:t>□</w:t>
            </w:r>
          </w:p>
        </w:tc>
      </w:tr>
      <w:tr w:rsidR="00820E0F" w14:paraId="087571D3" w14:textId="77777777" w:rsidTr="00CA22E7">
        <w:tc>
          <w:tcPr>
            <w:tcW w:w="675" w:type="dxa"/>
          </w:tcPr>
          <w:p w14:paraId="12E4C38E" w14:textId="77777777" w:rsidR="00820E0F" w:rsidRDefault="00000000" w:rsidP="00CA22E7">
            <w:pPr>
              <w:spacing w:after="0" w:line="240" w:lineRule="auto"/>
            </w:pPr>
            <w:r>
              <w:t>(12)</w:t>
            </w:r>
          </w:p>
        </w:tc>
        <w:tc>
          <w:tcPr>
            <w:tcW w:w="7655" w:type="dxa"/>
          </w:tcPr>
          <w:p w14:paraId="6D2EED42" w14:textId="77777777" w:rsidR="00820E0F" w:rsidRDefault="00000000" w:rsidP="00CA22E7">
            <w:pPr>
              <w:spacing w:after="0" w:line="240" w:lineRule="auto"/>
            </w:pPr>
            <w:r>
              <w:t>“Commitment to promoting diversity” (e.g., ability and willingness to contribute to diversity in education and research after appointment) has been added as one of the evaluation criteria.</w:t>
            </w:r>
          </w:p>
        </w:tc>
        <w:tc>
          <w:tcPr>
            <w:tcW w:w="567" w:type="dxa"/>
          </w:tcPr>
          <w:p w14:paraId="3C50F28A" w14:textId="77777777" w:rsidR="00820E0F" w:rsidRDefault="00000000" w:rsidP="00CA22E7">
            <w:pPr>
              <w:spacing w:after="0" w:line="240" w:lineRule="auto"/>
            </w:pPr>
            <w:r>
              <w:t>□</w:t>
            </w:r>
          </w:p>
        </w:tc>
      </w:tr>
    </w:tbl>
    <w:p w14:paraId="53BC581E" w14:textId="77777777" w:rsidR="00CA22E7" w:rsidRDefault="00CA22E7" w:rsidP="00CA22E7">
      <w:pPr>
        <w:pStyle w:val="31"/>
        <w:spacing w:before="0" w:line="240" w:lineRule="auto"/>
      </w:pPr>
    </w:p>
    <w:p w14:paraId="1C9C6F64" w14:textId="6E627F58" w:rsidR="00820E0F" w:rsidRDefault="00000000" w:rsidP="00CA22E7">
      <w:pPr>
        <w:pStyle w:val="31"/>
        <w:spacing w:before="0" w:line="240" w:lineRule="auto"/>
      </w:pPr>
      <w:r>
        <w:t>For Open Recruitment Cases, Please Provide the Following Information</w:t>
      </w:r>
    </w:p>
    <w:p w14:paraId="386A0A99" w14:textId="77777777" w:rsidR="00820E0F" w:rsidRDefault="00000000" w:rsidP="00CA22E7">
      <w:pPr>
        <w:spacing w:after="0" w:line="240" w:lineRule="auto"/>
      </w:pPr>
      <w:r>
        <w:t>(This information is requested based on the annual gender equality survey conducted by the Japan Association of National Universities.)</w:t>
      </w:r>
    </w:p>
    <w:tbl>
      <w:tblPr>
        <w:tblW w:w="0" w:type="auto"/>
        <w:tblLook w:val="04A0" w:firstRow="1" w:lastRow="0" w:firstColumn="1" w:lastColumn="0" w:noHBand="0" w:noVBand="1"/>
      </w:tblPr>
      <w:tblGrid>
        <w:gridCol w:w="1164"/>
        <w:gridCol w:w="1303"/>
        <w:gridCol w:w="1303"/>
        <w:gridCol w:w="1073"/>
        <w:gridCol w:w="1213"/>
        <w:gridCol w:w="1328"/>
        <w:gridCol w:w="1256"/>
      </w:tblGrid>
      <w:tr w:rsidR="00CA22E7" w14:paraId="14DE3A4F" w14:textId="28B94BCC" w:rsidTr="00CA22E7">
        <w:tc>
          <w:tcPr>
            <w:tcW w:w="1272" w:type="dxa"/>
          </w:tcPr>
          <w:p w14:paraId="57255D0F" w14:textId="77777777" w:rsidR="00CA22E7" w:rsidRDefault="00CA22E7" w:rsidP="00CA22E7">
            <w:pPr>
              <w:spacing w:after="0" w:line="240" w:lineRule="auto"/>
            </w:pPr>
            <w:r>
              <w:t>Position Title</w:t>
            </w:r>
          </w:p>
        </w:tc>
        <w:tc>
          <w:tcPr>
            <w:tcW w:w="1356" w:type="dxa"/>
          </w:tcPr>
          <w:p w14:paraId="4F6FDB3F" w14:textId="77777777" w:rsidR="00CA22E7" w:rsidRDefault="00CA22E7" w:rsidP="00CA22E7">
            <w:pPr>
              <w:spacing w:after="0" w:line="240" w:lineRule="auto"/>
            </w:pPr>
            <w:r>
              <w:t>No. of Applicants (Male)</w:t>
            </w:r>
          </w:p>
        </w:tc>
        <w:tc>
          <w:tcPr>
            <w:tcW w:w="1356" w:type="dxa"/>
          </w:tcPr>
          <w:p w14:paraId="113ACEB7" w14:textId="77777777" w:rsidR="00CA22E7" w:rsidRDefault="00CA22E7" w:rsidP="00CA22E7">
            <w:pPr>
              <w:spacing w:after="0" w:line="240" w:lineRule="auto"/>
            </w:pPr>
            <w:r>
              <w:t>No. of Applicants (Female)</w:t>
            </w:r>
          </w:p>
        </w:tc>
        <w:tc>
          <w:tcPr>
            <w:tcW w:w="1215" w:type="dxa"/>
          </w:tcPr>
          <w:p w14:paraId="1818F941" w14:textId="77777777" w:rsidR="00CA22E7" w:rsidRDefault="00CA22E7" w:rsidP="00CA22E7">
            <w:pPr>
              <w:spacing w:after="0" w:line="240" w:lineRule="auto"/>
            </w:pPr>
            <w:r>
              <w:t>No. of Hires (Male)</w:t>
            </w:r>
          </w:p>
        </w:tc>
        <w:tc>
          <w:tcPr>
            <w:tcW w:w="1301" w:type="dxa"/>
          </w:tcPr>
          <w:p w14:paraId="111F03FD" w14:textId="77777777" w:rsidR="00CA22E7" w:rsidRDefault="00CA22E7" w:rsidP="00CA22E7">
            <w:pPr>
              <w:spacing w:after="0" w:line="240" w:lineRule="auto"/>
            </w:pPr>
            <w:r>
              <w:t>No. of Hires (Female)</w:t>
            </w:r>
          </w:p>
        </w:tc>
        <w:tc>
          <w:tcPr>
            <w:tcW w:w="1371" w:type="dxa"/>
          </w:tcPr>
          <w:p w14:paraId="6DE8BE6C" w14:textId="77777777" w:rsidR="00CA22E7" w:rsidRDefault="00CA22E7" w:rsidP="00CA22E7">
            <w:pPr>
              <w:spacing w:after="0" w:line="240" w:lineRule="auto"/>
            </w:pPr>
            <w:r>
              <w:t>Term / Renewable</w:t>
            </w:r>
          </w:p>
        </w:tc>
        <w:tc>
          <w:tcPr>
            <w:tcW w:w="985" w:type="dxa"/>
          </w:tcPr>
          <w:p w14:paraId="679D924B" w14:textId="7F80B295" w:rsidR="00CA22E7" w:rsidRDefault="00CA22E7" w:rsidP="00CA22E7">
            <w:pPr>
              <w:spacing w:after="0" w:line="240" w:lineRule="auto"/>
            </w:pPr>
            <w:r>
              <w:t xml:space="preserve">Renewable (if </w:t>
            </w:r>
            <w:proofErr w:type="gramStart"/>
            <w:r>
              <w:t>fixed-term</w:t>
            </w:r>
            <w:proofErr w:type="gramEnd"/>
            <w:r>
              <w:t>)</w:t>
            </w:r>
          </w:p>
        </w:tc>
      </w:tr>
      <w:tr w:rsidR="00CA22E7" w14:paraId="59A30799" w14:textId="23024880" w:rsidTr="00CA22E7">
        <w:trPr>
          <w:trHeight w:val="708"/>
        </w:trPr>
        <w:tc>
          <w:tcPr>
            <w:tcW w:w="1272" w:type="dxa"/>
          </w:tcPr>
          <w:p w14:paraId="2C6FB2F4" w14:textId="77777777" w:rsidR="00CA22E7" w:rsidRDefault="00CA22E7" w:rsidP="00CA22E7">
            <w:pPr>
              <w:spacing w:after="0" w:line="240" w:lineRule="auto"/>
            </w:pPr>
          </w:p>
        </w:tc>
        <w:tc>
          <w:tcPr>
            <w:tcW w:w="1356" w:type="dxa"/>
          </w:tcPr>
          <w:p w14:paraId="543114B4" w14:textId="77777777" w:rsidR="00CA22E7" w:rsidRDefault="00CA22E7" w:rsidP="00CA22E7">
            <w:pPr>
              <w:spacing w:after="0" w:line="240" w:lineRule="auto"/>
            </w:pPr>
          </w:p>
        </w:tc>
        <w:tc>
          <w:tcPr>
            <w:tcW w:w="1356" w:type="dxa"/>
          </w:tcPr>
          <w:p w14:paraId="79F423F7" w14:textId="77777777" w:rsidR="00CA22E7" w:rsidRDefault="00CA22E7" w:rsidP="00CA22E7">
            <w:pPr>
              <w:spacing w:after="0" w:line="240" w:lineRule="auto"/>
            </w:pPr>
          </w:p>
        </w:tc>
        <w:tc>
          <w:tcPr>
            <w:tcW w:w="1215" w:type="dxa"/>
          </w:tcPr>
          <w:p w14:paraId="2614AE1F" w14:textId="77777777" w:rsidR="00CA22E7" w:rsidRDefault="00CA22E7" w:rsidP="00CA22E7">
            <w:pPr>
              <w:spacing w:after="0" w:line="240" w:lineRule="auto"/>
            </w:pPr>
          </w:p>
        </w:tc>
        <w:tc>
          <w:tcPr>
            <w:tcW w:w="1301" w:type="dxa"/>
          </w:tcPr>
          <w:p w14:paraId="0268AA9D" w14:textId="77777777" w:rsidR="00CA22E7" w:rsidRDefault="00CA22E7" w:rsidP="00CA22E7">
            <w:pPr>
              <w:spacing w:after="0" w:line="240" w:lineRule="auto"/>
            </w:pPr>
          </w:p>
        </w:tc>
        <w:tc>
          <w:tcPr>
            <w:tcW w:w="1371" w:type="dxa"/>
          </w:tcPr>
          <w:p w14:paraId="04660A3A" w14:textId="77777777" w:rsidR="00CA22E7" w:rsidRDefault="00CA22E7" w:rsidP="00CA22E7">
            <w:pPr>
              <w:spacing w:after="0" w:line="240" w:lineRule="auto"/>
            </w:pPr>
            <w:r>
              <w:t>Yes / No</w:t>
            </w:r>
          </w:p>
        </w:tc>
        <w:tc>
          <w:tcPr>
            <w:tcW w:w="985" w:type="dxa"/>
          </w:tcPr>
          <w:p w14:paraId="29A416A4" w14:textId="5417419C" w:rsidR="00CA22E7" w:rsidRDefault="00CA22E7" w:rsidP="00CA22E7">
            <w:pPr>
              <w:spacing w:after="0" w:line="240" w:lineRule="auto"/>
            </w:pPr>
            <w:r>
              <w:t>Yes / No</w:t>
            </w:r>
          </w:p>
        </w:tc>
      </w:tr>
    </w:tbl>
    <w:p w14:paraId="5E674FB6" w14:textId="77777777" w:rsidR="00757479" w:rsidRDefault="00757479"/>
    <w:sectPr w:rsidR="007574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01755646">
    <w:abstractNumId w:val="8"/>
  </w:num>
  <w:num w:numId="2" w16cid:durableId="559824190">
    <w:abstractNumId w:val="6"/>
  </w:num>
  <w:num w:numId="3" w16cid:durableId="929200323">
    <w:abstractNumId w:val="5"/>
  </w:num>
  <w:num w:numId="4" w16cid:durableId="600264712">
    <w:abstractNumId w:val="4"/>
  </w:num>
  <w:num w:numId="5" w16cid:durableId="640885135">
    <w:abstractNumId w:val="7"/>
  </w:num>
  <w:num w:numId="6" w16cid:durableId="813789844">
    <w:abstractNumId w:val="3"/>
  </w:num>
  <w:num w:numId="7" w16cid:durableId="2120950884">
    <w:abstractNumId w:val="2"/>
  </w:num>
  <w:num w:numId="8" w16cid:durableId="1577664795">
    <w:abstractNumId w:val="1"/>
  </w:num>
  <w:num w:numId="9" w16cid:durableId="201310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0A74"/>
    <w:rsid w:val="0029639D"/>
    <w:rsid w:val="00326F90"/>
    <w:rsid w:val="00757479"/>
    <w:rsid w:val="00820E0F"/>
    <w:rsid w:val="00AA1D8D"/>
    <w:rsid w:val="00B47730"/>
    <w:rsid w:val="00C81A20"/>
    <w:rsid w:val="00CA22E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7A90A97"/>
  <w14:defaultImageDpi w14:val="300"/>
  <w15:docId w15:val="{4EDFFDC4-CD91-204A-81D6-CEDEF869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3381</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SAEGUSA Mayumi</cp:lastModifiedBy>
  <cp:revision>2</cp:revision>
  <dcterms:created xsi:type="dcterms:W3CDTF">2025-11-05T03:52:00Z</dcterms:created>
  <dcterms:modified xsi:type="dcterms:W3CDTF">2025-11-05T03:52:00Z</dcterms:modified>
  <cp:category/>
</cp:coreProperties>
</file>